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07277" w14:textId="5A0F709D" w:rsidR="000432CC" w:rsidRPr="001E4B95" w:rsidRDefault="00AD02A2" w:rsidP="000432C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</w:rPr>
        <w:t>PARTI III. - FORMOLI TA’ INFORMAZZJONI SUPPLIMENTARI</w:t>
      </w:r>
    </w:p>
    <w:p w14:paraId="439408A9" w14:textId="77777777" w:rsidR="000432CC" w:rsidRDefault="000432CC" w:rsidP="000432CC">
      <w:pPr>
        <w:rPr>
          <w:b/>
          <w:color w:val="000000"/>
        </w:rPr>
      </w:pPr>
    </w:p>
    <w:p w14:paraId="211D1589" w14:textId="77777777" w:rsidR="00033078" w:rsidRPr="001E4B95" w:rsidRDefault="00033078" w:rsidP="000432CC">
      <w:pPr>
        <w:rPr>
          <w:b/>
          <w:color w:val="000000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0432CC" w:rsidRPr="001E4B95" w14:paraId="5CA40607" w14:textId="77777777" w:rsidTr="001E4B95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73CFEFF3" w14:textId="77777777" w:rsidR="000432CC" w:rsidRPr="001E4B95" w:rsidRDefault="000432CC" w:rsidP="00AF634A">
            <w:pPr>
              <w:spacing w:before="12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</w:rPr>
              <w:t>Parti III.1.A</w:t>
            </w:r>
          </w:p>
          <w:p w14:paraId="0B352C8D" w14:textId="77777777" w:rsidR="000432CC" w:rsidRDefault="00EA65BD" w:rsidP="00C830F1">
            <w:pPr>
              <w:pStyle w:val="ChapterTitle"/>
              <w:spacing w:after="240"/>
              <w:rPr>
                <w:bCs w:val="0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Formola ta’ Informazzjoni Supplimentari Aġġornata* dwar l-għajnuna għall-investiment reġjonali individwali</w:t>
            </w:r>
          </w:p>
          <w:p w14:paraId="11FAC6A9" w14:textId="77777777" w:rsidR="00291206" w:rsidRPr="00291206" w:rsidRDefault="00EA65BD" w:rsidP="00C830F1">
            <w:pPr>
              <w:jc w:val="left"/>
            </w:pPr>
            <w:r>
              <w:t>* għadha ma ġietx adottata formalment</w:t>
            </w:r>
          </w:p>
        </w:tc>
      </w:tr>
    </w:tbl>
    <w:p w14:paraId="1B882312" w14:textId="77777777" w:rsidR="000432CC" w:rsidRPr="009830AE" w:rsidRDefault="000432CC" w:rsidP="000432CC">
      <w:pPr>
        <w:rPr>
          <w:color w:val="000000"/>
        </w:rPr>
      </w:pPr>
    </w:p>
    <w:p w14:paraId="50B62BED" w14:textId="77777777" w:rsidR="00EC615B" w:rsidRPr="00EC615B" w:rsidRDefault="00EC615B" w:rsidP="00EC615B">
      <w:pPr>
        <w:tabs>
          <w:tab w:val="clear" w:pos="720"/>
          <w:tab w:val="clear" w:pos="1077"/>
          <w:tab w:val="clear" w:pos="1440"/>
          <w:tab w:val="clear" w:pos="1797"/>
        </w:tabs>
      </w:pPr>
      <w:r>
        <w:t>Din il-formola ta’ informazzjoni supplimentari ma hijiex obbligatorja. Madankollu, huwa rrakkomandat li din timtela, flimkien mal-formola “Informazzjoni ġenerali”, għan-notifika ta’ kwalunkwe għajnuna għall-investiment individwali koperta mil-Linji Gwida dwar l-għajnuna reġjonali mill-Istat applikabbli mill-1 ta’ Jannar 2022 (RAG)</w:t>
      </w:r>
      <w:r>
        <w:rPr>
          <w:iCs/>
          <w:szCs w:val="24"/>
          <w:vertAlign w:val="superscript"/>
        </w:rPr>
        <w:footnoteReference w:id="1"/>
      </w:r>
      <w:r>
        <w:t xml:space="preserve">. </w:t>
      </w:r>
    </w:p>
    <w:p w14:paraId="77BFFA63" w14:textId="77777777" w:rsidR="000432CC" w:rsidRPr="009830AE" w:rsidRDefault="000432CC" w:rsidP="00033078">
      <w:pPr>
        <w:spacing w:after="120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0432CC" w:rsidRPr="009830AE" w14:paraId="5B054507" w14:textId="77777777" w:rsidTr="00093A59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1AF59942" w14:textId="77777777" w:rsidR="000432CC" w:rsidRPr="009830AE" w:rsidRDefault="000432CC" w:rsidP="00692164">
            <w:pPr>
              <w:pStyle w:val="Heading1"/>
              <w:numPr>
                <w:ilvl w:val="0"/>
                <w:numId w:val="2"/>
              </w:numPr>
              <w:ind w:left="482" w:hanging="482"/>
              <w:rPr>
                <w:color w:val="000000"/>
              </w:rPr>
            </w:pPr>
            <w:r>
              <w:rPr>
                <w:color w:val="000000"/>
              </w:rPr>
              <w:t>Ambitu</w:t>
            </w:r>
          </w:p>
        </w:tc>
      </w:tr>
    </w:tbl>
    <w:p w14:paraId="74360564" w14:textId="77777777" w:rsidR="000432CC" w:rsidRPr="009830AE" w:rsidRDefault="000432CC" w:rsidP="00DA3D70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>Raġunijiet għan-notifika tal-miżura:</w:t>
      </w:r>
    </w:p>
    <w:p w14:paraId="5779C417" w14:textId="77777777" w:rsidR="000432CC" w:rsidRDefault="000432CC" w:rsidP="00577841">
      <w:pPr>
        <w:pStyle w:val="Normal127Indent127"/>
        <w:tabs>
          <w:tab w:val="clear" w:pos="720"/>
          <w:tab w:val="clear" w:pos="1440"/>
          <w:tab w:val="clear" w:pos="1797"/>
        </w:tabs>
        <w:ind w:left="1418" w:hanging="698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174AE">
        <w:rPr>
          <w:b/>
        </w:rPr>
      </w:r>
      <w:r w:rsidR="00D174AE">
        <w:rPr>
          <w:b/>
        </w:rPr>
        <w:fldChar w:fldCharType="separate"/>
      </w:r>
      <w:r>
        <w:rPr>
          <w:b/>
        </w:rPr>
        <w:fldChar w:fldCharType="end"/>
      </w:r>
      <w:r>
        <w:tab/>
        <w:t>In-notifika tirrigwarda għajnuna individwali mogħtija skont skema u l-għajnuna mis-sorsi kollha li taqbeż il-livell limitu ta’ notifika. Jekk jogħġbok ipprovdi referenzi tal-għajnuna mill-Istat tal-iskemi tal-għajnuna kkonċernati approvati jew li ngħataw eżenzjoni ta’ kategorija:</w:t>
      </w:r>
    </w:p>
    <w:tbl>
      <w:tblPr>
        <w:tblW w:w="0" w:type="auto"/>
        <w:tblInd w:w="14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71"/>
      </w:tblGrid>
      <w:tr w:rsidR="007E5B4A" w14:paraId="2B07164E" w14:textId="77777777" w:rsidTr="00772CF3">
        <w:tc>
          <w:tcPr>
            <w:tcW w:w="8391" w:type="dxa"/>
            <w:shd w:val="clear" w:color="auto" w:fill="auto"/>
          </w:tcPr>
          <w:p w14:paraId="75647C72" w14:textId="77777777" w:rsidR="007E5B4A" w:rsidRDefault="00AF634A" w:rsidP="000D782C">
            <w:r>
              <w:t xml:space="preserve">… </w:t>
            </w:r>
          </w:p>
        </w:tc>
      </w:tr>
    </w:tbl>
    <w:p w14:paraId="49EF6F99" w14:textId="77777777" w:rsidR="000432CC" w:rsidRPr="009830AE" w:rsidRDefault="000432CC" w:rsidP="00D174AE">
      <w:pPr>
        <w:pStyle w:val="Normal127Indent127"/>
        <w:ind w:left="1418" w:hanging="698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174AE">
        <w:rPr>
          <w:b/>
        </w:rPr>
      </w:r>
      <w:r w:rsidR="00D174AE">
        <w:rPr>
          <w:b/>
        </w:rPr>
        <w:fldChar w:fldCharType="separate"/>
      </w:r>
      <w:r>
        <w:rPr>
          <w:b/>
        </w:rPr>
        <w:fldChar w:fldCharType="end"/>
      </w:r>
      <w:r>
        <w:tab/>
        <w:t xml:space="preserve">In-notifika tirrigwarda għajnuna individwali mogħtija barra minn skema </w:t>
      </w:r>
      <w:bookmarkStart w:id="0" w:name="_GoBack"/>
      <w:bookmarkEnd w:id="0"/>
      <w:r>
        <w:t xml:space="preserve">(għajnuna </w:t>
      </w:r>
      <w:proofErr w:type="spellStart"/>
      <w:r>
        <w:rPr>
          <w:i/>
        </w:rPr>
        <w:t>ad</w:t>
      </w:r>
      <w:proofErr w:type="spellEnd"/>
      <w:r>
        <w:rPr>
          <w:i/>
        </w:rPr>
        <w:t> </w:t>
      </w:r>
      <w:proofErr w:type="spellStart"/>
      <w:r>
        <w:rPr>
          <w:i/>
        </w:rPr>
        <w:t>hoc</w:t>
      </w:r>
      <w:proofErr w:type="spellEnd"/>
      <w:r>
        <w:t>).</w:t>
      </w:r>
    </w:p>
    <w:p w14:paraId="01992271" w14:textId="77777777" w:rsidR="000432CC" w:rsidRPr="009830AE" w:rsidRDefault="000432CC" w:rsidP="0097769E">
      <w:pPr>
        <w:pStyle w:val="Normal127Indent127"/>
        <w:tabs>
          <w:tab w:val="clear" w:pos="720"/>
          <w:tab w:val="clear" w:pos="1440"/>
          <w:tab w:val="clear" w:pos="1797"/>
        </w:tabs>
        <w:ind w:left="1418" w:hanging="698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174AE">
        <w:rPr>
          <w:b/>
        </w:rPr>
      </w:r>
      <w:r w:rsidR="00D174AE">
        <w:rPr>
          <w:b/>
        </w:rPr>
        <w:fldChar w:fldCharType="separate"/>
      </w:r>
      <w:r>
        <w:rPr>
          <w:b/>
        </w:rPr>
        <w:fldChar w:fldCharType="end"/>
      </w:r>
      <w:r>
        <w:tab/>
        <w:t>In-notifika tirrigwarda għajnuna mogħtija lil benefiċjarju li għalaq l-istess attività jew waħda simili</w:t>
      </w:r>
      <w:r>
        <w:rPr>
          <w:rStyle w:val="FootnoteReference"/>
          <w:color w:val="000000"/>
        </w:rPr>
        <w:footnoteReference w:id="2"/>
      </w:r>
      <w:r>
        <w:t xml:space="preserve"> </w:t>
      </w:r>
      <w:proofErr w:type="spellStart"/>
      <w:r>
        <w:t>fiż</w:t>
      </w:r>
      <w:proofErr w:type="spellEnd"/>
      <w:r>
        <w:t xml:space="preserve">-ŻEE sentejn qabel id-data tal-applikazzjoni għall-għajnuna, jew li fil-mument tal-applikazzjoni għall-għajnuna jkollu l-intenzjoni li jagħlaq din l-attività fi żmien perjodu ta’ sentejn wara li jitlesta l-investiment li jrid jiġi </w:t>
      </w:r>
      <w:proofErr w:type="spellStart"/>
      <w:r>
        <w:t>ssussidjat</w:t>
      </w:r>
      <w:proofErr w:type="spellEnd"/>
      <w:r>
        <w:t>.</w:t>
      </w:r>
    </w:p>
    <w:p w14:paraId="6ACB0511" w14:textId="77777777" w:rsidR="000432CC" w:rsidRDefault="000432CC" w:rsidP="00D2200E">
      <w:pPr>
        <w:pStyle w:val="Normal127Indent127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ab/>
        <w:t>Oħrajn (Jekk jogħġbok spjega)</w:t>
      </w:r>
    </w:p>
    <w:tbl>
      <w:tblPr>
        <w:tblW w:w="0" w:type="auto"/>
        <w:tblInd w:w="14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71"/>
      </w:tblGrid>
      <w:tr w:rsidR="007E5B4A" w14:paraId="32B8B0F2" w14:textId="77777777" w:rsidTr="00772CF3">
        <w:tc>
          <w:tcPr>
            <w:tcW w:w="7671" w:type="dxa"/>
            <w:shd w:val="clear" w:color="auto" w:fill="auto"/>
          </w:tcPr>
          <w:p w14:paraId="098E49FA" w14:textId="77777777" w:rsidR="007E5B4A" w:rsidRDefault="007E5B4A" w:rsidP="000D782C">
            <w:r>
              <w:t xml:space="preserve">… </w:t>
            </w:r>
          </w:p>
        </w:tc>
      </w:tr>
    </w:tbl>
    <w:p w14:paraId="7269056F" w14:textId="77777777" w:rsidR="000432CC" w:rsidRPr="009830AE" w:rsidRDefault="000432CC" w:rsidP="00DA3D70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>Ambitu tal-miżura ta’ għajnuna notifikata</w:t>
      </w:r>
    </w:p>
    <w:p w14:paraId="42026524" w14:textId="77777777" w:rsidR="00840F2A" w:rsidRDefault="000432CC" w:rsidP="00C359A9">
      <w:pPr>
        <w:pStyle w:val="NormalKop111"/>
        <w:numPr>
          <w:ilvl w:val="2"/>
          <w:numId w:val="2"/>
        </w:numPr>
        <w:spacing w:before="0"/>
        <w:ind w:left="720" w:firstLine="0"/>
        <w:rPr>
          <w:color w:val="000000"/>
        </w:rPr>
      </w:pPr>
      <w:r>
        <w:rPr>
          <w:color w:val="000000"/>
        </w:rPr>
        <w:t>Jekk jogħġbok ikkonferma li l-benefiċjarju ma huwiex impriża f’diffikultà</w:t>
      </w:r>
      <w:r>
        <w:rPr>
          <w:color w:val="000000"/>
          <w:vertAlign w:val="superscript"/>
        </w:rPr>
        <w:footnoteReference w:id="3"/>
      </w:r>
    </w:p>
    <w:tbl>
      <w:tblPr>
        <w:tblW w:w="7654" w:type="dxa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4"/>
      </w:tblGrid>
      <w:tr w:rsidR="00840F2A" w14:paraId="18F861BC" w14:textId="77777777" w:rsidTr="00577841">
        <w:tc>
          <w:tcPr>
            <w:tcW w:w="7654" w:type="dxa"/>
            <w:shd w:val="clear" w:color="auto" w:fill="auto"/>
          </w:tcPr>
          <w:p w14:paraId="70EEEC9E" w14:textId="77777777" w:rsidR="00840F2A" w:rsidRDefault="00840F2A" w:rsidP="00577841">
            <w:pPr>
              <w:tabs>
                <w:tab w:val="clear" w:pos="720"/>
              </w:tabs>
            </w:pPr>
            <w:r>
              <w:t>…</w:t>
            </w:r>
          </w:p>
        </w:tc>
      </w:tr>
    </w:tbl>
    <w:p w14:paraId="0BCA385A" w14:textId="77777777" w:rsidR="000432CC" w:rsidRDefault="000432CC" w:rsidP="00840F2A"/>
    <w:p w14:paraId="67E07A02" w14:textId="77777777" w:rsidR="0053234E" w:rsidRPr="00A80D24" w:rsidRDefault="0053234E" w:rsidP="00033078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spacing w:before="0"/>
        <w:ind w:left="1418" w:hanging="698"/>
        <w:rPr>
          <w:rFonts w:cs="Times New Roman"/>
          <w:color w:val="000000"/>
        </w:rPr>
      </w:pPr>
      <w:r>
        <w:t xml:space="preserve">Jekk jogħġbok ippreżenta kopja tal-formola tal-applikazzjoni u l-ftehim (abbozz) tal-għoti tal-għajnuna. </w:t>
      </w:r>
    </w:p>
    <w:p w14:paraId="29B58A1A" w14:textId="77777777" w:rsidR="007E5B4A" w:rsidRPr="009830AE" w:rsidRDefault="007E5B4A" w:rsidP="00840F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0432CC" w:rsidRPr="009830AE" w14:paraId="24DF0E23" w14:textId="77777777" w:rsidTr="007E5B4A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347FC616" w14:textId="77777777" w:rsidR="000432CC" w:rsidRPr="009830AE" w:rsidRDefault="00A3246A" w:rsidP="00692164">
            <w:pPr>
              <w:pStyle w:val="Heading1"/>
              <w:numPr>
                <w:ilvl w:val="0"/>
                <w:numId w:val="2"/>
              </w:numPr>
              <w:ind w:left="482" w:hanging="482"/>
              <w:rPr>
                <w:color w:val="000000"/>
              </w:rPr>
            </w:pPr>
            <w:r>
              <w:rPr>
                <w:color w:val="000000"/>
              </w:rPr>
              <w:t>Informazzjoni addizzjonali dwar il-benefiċjarju, il-proġett tal-investiment u l-għajnuna</w:t>
            </w:r>
          </w:p>
        </w:tc>
      </w:tr>
    </w:tbl>
    <w:p w14:paraId="1C2E2DE2" w14:textId="77777777" w:rsidR="000432CC" w:rsidRPr="008221B1" w:rsidRDefault="008735F2" w:rsidP="00DA3D70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>Benefiċjarju</w:t>
      </w:r>
    </w:p>
    <w:p w14:paraId="32A2F06C" w14:textId="77777777" w:rsidR="007E5B4A" w:rsidRPr="007E5B4A" w:rsidRDefault="00025F6C" w:rsidP="00D2200E">
      <w:pPr>
        <w:pStyle w:val="NormalKop111"/>
        <w:numPr>
          <w:ilvl w:val="2"/>
          <w:numId w:val="2"/>
        </w:numPr>
        <w:ind w:left="720" w:firstLine="0"/>
        <w:rPr>
          <w:rFonts w:cs="Times New Roman"/>
          <w:color w:val="000000"/>
        </w:rPr>
      </w:pPr>
      <w:r>
        <w:rPr>
          <w:color w:val="000000"/>
        </w:rPr>
        <w:t xml:space="preserve">Jekk jogħġbok identifika r-riċevitur(i) tal-għajnuna: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7E5B4A" w14:paraId="60CE428C" w14:textId="77777777" w:rsidTr="00772CF3">
        <w:tc>
          <w:tcPr>
            <w:tcW w:w="8391" w:type="dxa"/>
            <w:shd w:val="clear" w:color="auto" w:fill="auto"/>
          </w:tcPr>
          <w:p w14:paraId="2FEE375A" w14:textId="77777777" w:rsidR="007E5B4A" w:rsidRDefault="007E5B4A" w:rsidP="000D782C">
            <w:r>
              <w:t>…</w:t>
            </w:r>
          </w:p>
        </w:tc>
      </w:tr>
    </w:tbl>
    <w:p w14:paraId="63DBE04E" w14:textId="77777777" w:rsidR="007E5B4A" w:rsidRPr="005538C6" w:rsidRDefault="000432CC" w:rsidP="005538C6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Jekk l-identità legali tar-riċevitur tal-għajnuna tkun differenti mill-impriża/i li tiffinanzja/jiffinanzjaw il-proġett jew mill-benefiċjarju/i attwali tal-għajnuna, jekk jogħġbok </w:t>
      </w:r>
      <w:proofErr w:type="spellStart"/>
      <w:r>
        <w:rPr>
          <w:color w:val="000000"/>
        </w:rPr>
        <w:t>iddeskrivi</w:t>
      </w:r>
      <w:proofErr w:type="spellEnd"/>
      <w:r>
        <w:rPr>
          <w:color w:val="000000"/>
        </w:rPr>
        <w:t xml:space="preserve"> dawn id-differenzi u identifika dawk l-impriżi l-oħrajn involuti.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7E5B4A" w14:paraId="763432B8" w14:textId="77777777" w:rsidTr="00772CF3">
        <w:tc>
          <w:tcPr>
            <w:tcW w:w="8391" w:type="dxa"/>
            <w:shd w:val="clear" w:color="auto" w:fill="auto"/>
          </w:tcPr>
          <w:p w14:paraId="0538FC50" w14:textId="77777777" w:rsidR="007E5B4A" w:rsidRDefault="007E5B4A" w:rsidP="000D782C">
            <w:r>
              <w:t>…</w:t>
            </w:r>
          </w:p>
        </w:tc>
      </w:tr>
    </w:tbl>
    <w:p w14:paraId="4B8ABCBF" w14:textId="77777777" w:rsidR="007E5B4A" w:rsidRPr="005538C6" w:rsidRDefault="000432CC" w:rsidP="005538C6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Jekk jogħġbok agħti deskrizzjoni ċara tar-relazzjoni bejn il-benefiċjarju, il-grupp tal-intrapriżi li jagħmel parti minnu u intrapriżi assoċjati oħrajn, inklużi l-impriżi konġunti.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7E5B4A" w14:paraId="22320F9B" w14:textId="77777777" w:rsidTr="00772CF3">
        <w:tc>
          <w:tcPr>
            <w:tcW w:w="8391" w:type="dxa"/>
            <w:shd w:val="clear" w:color="auto" w:fill="auto"/>
          </w:tcPr>
          <w:p w14:paraId="2477C7A0" w14:textId="77777777" w:rsidR="007E5B4A" w:rsidRDefault="007E5B4A" w:rsidP="000D782C">
            <w:r>
              <w:t>…</w:t>
            </w:r>
          </w:p>
        </w:tc>
      </w:tr>
    </w:tbl>
    <w:p w14:paraId="758D75E9" w14:textId="77777777" w:rsidR="00162C83" w:rsidRDefault="00162C83" w:rsidP="004A7C2E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>Il-proġett ta’ investiment</w:t>
      </w:r>
    </w:p>
    <w:p w14:paraId="4EF16C39" w14:textId="77777777" w:rsidR="00162C83" w:rsidRPr="009830AE" w:rsidRDefault="00162C83" w:rsidP="00D2200E">
      <w:pPr>
        <w:pStyle w:val="NormalKop111"/>
        <w:numPr>
          <w:ilvl w:val="2"/>
          <w:numId w:val="2"/>
        </w:numPr>
        <w:ind w:left="720" w:firstLine="0"/>
        <w:rPr>
          <w:rFonts w:cs="Times New Roman"/>
          <w:color w:val="000000"/>
        </w:rPr>
      </w:pPr>
      <w:r>
        <w:rPr>
          <w:color w:val="000000"/>
        </w:rPr>
        <w:t>Jekk jogħġbok ipprovdi l-informazzjoni li ġejja dwar il-proġett ta’ investiment innotifikat: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52"/>
        <w:gridCol w:w="2811"/>
      </w:tblGrid>
      <w:tr w:rsidR="00162C83" w14:paraId="1D7E6FDB" w14:textId="77777777" w:rsidTr="00D2200E">
        <w:tc>
          <w:tcPr>
            <w:tcW w:w="5552" w:type="dxa"/>
            <w:shd w:val="clear" w:color="auto" w:fill="auto"/>
          </w:tcPr>
          <w:p w14:paraId="1ED194DC" w14:textId="77777777" w:rsidR="00162C83" w:rsidRDefault="00162C83" w:rsidP="0039571D">
            <w:r>
              <w:t>Data tal-applikazzjoni għall-għajnuna:</w:t>
            </w:r>
          </w:p>
        </w:tc>
        <w:tc>
          <w:tcPr>
            <w:tcW w:w="2811" w:type="dxa"/>
            <w:shd w:val="clear" w:color="auto" w:fill="auto"/>
          </w:tcPr>
          <w:p w14:paraId="694880B4" w14:textId="77777777" w:rsidR="00162C83" w:rsidRDefault="00162C83" w:rsidP="0039571D"/>
        </w:tc>
      </w:tr>
      <w:tr w:rsidR="00162C83" w14:paraId="642BA135" w14:textId="77777777" w:rsidTr="00D2200E">
        <w:tc>
          <w:tcPr>
            <w:tcW w:w="5552" w:type="dxa"/>
            <w:shd w:val="clear" w:color="auto" w:fill="auto"/>
          </w:tcPr>
          <w:p w14:paraId="1695DEB5" w14:textId="77777777" w:rsidR="00162C83" w:rsidRDefault="00162C83" w:rsidP="0039571D">
            <w:r>
              <w:t>Data tal-bidu tax-xogħlijiet fuq il-proġett ta’ investiment:</w:t>
            </w:r>
          </w:p>
        </w:tc>
        <w:tc>
          <w:tcPr>
            <w:tcW w:w="2811" w:type="dxa"/>
            <w:shd w:val="clear" w:color="auto" w:fill="auto"/>
          </w:tcPr>
          <w:p w14:paraId="0E8D776F" w14:textId="77777777" w:rsidR="00162C83" w:rsidRDefault="00162C83" w:rsidP="0039571D"/>
        </w:tc>
      </w:tr>
      <w:tr w:rsidR="00162C83" w14:paraId="1B66D403" w14:textId="77777777" w:rsidTr="00D2200E">
        <w:tc>
          <w:tcPr>
            <w:tcW w:w="5552" w:type="dxa"/>
            <w:shd w:val="clear" w:color="auto" w:fill="auto"/>
          </w:tcPr>
          <w:p w14:paraId="78D45DD2" w14:textId="77777777" w:rsidR="00162C83" w:rsidRDefault="00162C83" w:rsidP="0039571D">
            <w:r>
              <w:t>Data tal-bidu tal-produzzjoni:</w:t>
            </w:r>
          </w:p>
        </w:tc>
        <w:tc>
          <w:tcPr>
            <w:tcW w:w="2811" w:type="dxa"/>
            <w:shd w:val="clear" w:color="auto" w:fill="auto"/>
          </w:tcPr>
          <w:p w14:paraId="06202CE4" w14:textId="77777777" w:rsidR="00162C83" w:rsidRDefault="00162C83" w:rsidP="0039571D"/>
        </w:tc>
      </w:tr>
      <w:tr w:rsidR="00162C83" w14:paraId="3AFC1E18" w14:textId="77777777" w:rsidTr="00D2200E">
        <w:tc>
          <w:tcPr>
            <w:tcW w:w="5552" w:type="dxa"/>
            <w:shd w:val="clear" w:color="auto" w:fill="auto"/>
          </w:tcPr>
          <w:p w14:paraId="52E03EDF" w14:textId="77777777" w:rsidR="00162C83" w:rsidRDefault="00162C83" w:rsidP="0039571D">
            <w:r>
              <w:t>Data li fiha tintlaħaq il-kapaċità sħiħa tal-produzzjoni:</w:t>
            </w:r>
          </w:p>
        </w:tc>
        <w:tc>
          <w:tcPr>
            <w:tcW w:w="2811" w:type="dxa"/>
            <w:shd w:val="clear" w:color="auto" w:fill="auto"/>
          </w:tcPr>
          <w:p w14:paraId="7FD8CB4C" w14:textId="77777777" w:rsidR="00162C83" w:rsidRDefault="00162C83" w:rsidP="0039571D"/>
        </w:tc>
      </w:tr>
      <w:tr w:rsidR="00162C83" w14:paraId="19F4AD0A" w14:textId="77777777" w:rsidTr="00D2200E">
        <w:tc>
          <w:tcPr>
            <w:tcW w:w="5552" w:type="dxa"/>
            <w:shd w:val="clear" w:color="auto" w:fill="auto"/>
          </w:tcPr>
          <w:p w14:paraId="751B3F61" w14:textId="77777777" w:rsidR="00162C83" w:rsidRDefault="00162C83" w:rsidP="00C03025">
            <w:r>
              <w:t>Tlestija ppjanata tal-proġett ta’ investiment:</w:t>
            </w:r>
          </w:p>
        </w:tc>
        <w:tc>
          <w:tcPr>
            <w:tcW w:w="2811" w:type="dxa"/>
            <w:shd w:val="clear" w:color="auto" w:fill="auto"/>
          </w:tcPr>
          <w:p w14:paraId="315B6313" w14:textId="77777777" w:rsidR="00162C83" w:rsidRDefault="00162C83" w:rsidP="0039571D"/>
        </w:tc>
      </w:tr>
    </w:tbl>
    <w:p w14:paraId="5A9F2A01" w14:textId="77777777" w:rsidR="007D70E6" w:rsidRPr="005C5DFC" w:rsidRDefault="007D70E6" w:rsidP="007D70E6">
      <w:pPr>
        <w:pStyle w:val="NumPar3"/>
        <w:numPr>
          <w:ilvl w:val="2"/>
          <w:numId w:val="2"/>
        </w:numPr>
        <w:spacing w:before="240"/>
        <w:ind w:left="1440" w:hanging="720"/>
      </w:pPr>
      <w:r>
        <w:t>Jekk in-notifika tkopri investiment f’żona “a” jew investiment minn SME</w:t>
      </w:r>
      <w:r>
        <w:rPr>
          <w:rStyle w:val="FootnoteReference"/>
        </w:rPr>
        <w:footnoteReference w:id="4"/>
      </w:r>
      <w:r>
        <w:t xml:space="preserve"> (s) f’żona “c” (il-paragrafu 45 tal-RAG), jekk jogħġbok speċifika l-kategorija/i tal-investiment inizjali kkonċernat min-notifika (il-paragrafu 19(13) tal-RAG): </w:t>
      </w:r>
    </w:p>
    <w:p w14:paraId="271B4C3F" w14:textId="77777777" w:rsidR="007D70E6" w:rsidRPr="005C5DFC" w:rsidRDefault="007D70E6" w:rsidP="007D70E6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ab/>
        <w:t>it-twaqqif ta’ stabbiliment ġdid</w:t>
      </w:r>
    </w:p>
    <w:p w14:paraId="5D48C53B" w14:textId="77777777" w:rsidR="007D70E6" w:rsidRPr="005C5DFC" w:rsidRDefault="007D70E6" w:rsidP="007D70E6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ab/>
        <w:t>l-estensjoni tal-kapaċità ta’ stabbiliment eżistenti</w:t>
      </w:r>
    </w:p>
    <w:p w14:paraId="4BC3590D" w14:textId="77777777" w:rsidR="007D70E6" w:rsidRPr="005C5DFC" w:rsidRDefault="007D70E6" w:rsidP="007D70E6">
      <w:pPr>
        <w:pStyle w:val="Text2"/>
        <w:tabs>
          <w:tab w:val="clear" w:pos="2161"/>
        </w:tabs>
        <w:ind w:left="2410" w:hanging="425"/>
      </w:pPr>
      <w: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ab/>
        <w:t>id-diversifikazzjoni tal-output ta’ stabbiliment fi prodotti li qatt ma ġew prodotti fl-istabbiliment qabel</w:t>
      </w:r>
    </w:p>
    <w:p w14:paraId="203C21CA" w14:textId="77777777" w:rsidR="007D70E6" w:rsidRDefault="007D70E6" w:rsidP="007D70E6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ab/>
        <w:t>bidla fundamentali fil-proċess globali tal-produzzjoni tal-prodott(i) ikkonċernat(i) mill-investiment fl-istabbiliment</w:t>
      </w:r>
    </w:p>
    <w:p w14:paraId="3DE90299" w14:textId="2A26F947" w:rsidR="007D70E6" w:rsidRDefault="007D70E6" w:rsidP="007D70E6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ab/>
        <w:t xml:space="preserve">akkwiżizzjoni ta’ assi li jappartjenu għal stabbiliment li jkun għalaq jew li kien jagħlaq kieku ma </w:t>
      </w:r>
      <w:proofErr w:type="spellStart"/>
      <w:r>
        <w:t>nxtarax</w:t>
      </w:r>
      <w:proofErr w:type="spellEnd"/>
      <w:r>
        <w:rPr>
          <w:rStyle w:val="FootnoteReference"/>
        </w:rPr>
        <w:footnoteReference w:id="5"/>
      </w:r>
      <w:r>
        <w:t>.</w:t>
      </w:r>
    </w:p>
    <w:p w14:paraId="2F15749C" w14:textId="77777777" w:rsidR="007D70E6" w:rsidRPr="005C5DFC" w:rsidRDefault="007D70E6" w:rsidP="00033078">
      <w:pPr>
        <w:pStyle w:val="NumPar3"/>
        <w:numPr>
          <w:ilvl w:val="2"/>
          <w:numId w:val="2"/>
        </w:numPr>
        <w:spacing w:before="240" w:after="240"/>
        <w:ind w:left="1440" w:hanging="720"/>
      </w:pPr>
      <w:r>
        <w:t>Jekk in-notifika tkopri investiment f’żona “c” minn intrapriża kbira, jekk jogħġbok speċifika l-kategorija/i tal-investiment inizjali kkonċernati min-notifika (il-paragrafu 19(14) u l-paragrafu 14 tal-RAG):</w:t>
      </w:r>
    </w:p>
    <w:p w14:paraId="65275405" w14:textId="77777777" w:rsidR="007D70E6" w:rsidRPr="005C5DFC" w:rsidRDefault="007D70E6" w:rsidP="007D70E6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ab/>
        <w:t>it-twaqqif ta’ stabbiliment ġdid</w:t>
      </w:r>
    </w:p>
    <w:p w14:paraId="30CF2B5E" w14:textId="3435EDB0" w:rsidR="00874095" w:rsidRDefault="007D70E6" w:rsidP="003300E4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ab/>
        <w:t>id-diversifikazzjoni tal-attività ta’ stabbiliment, bil-kundizzjoni li l-attività l-ġdida ma tkunx l-istess attività jew waħda simili għall-attività li kienet issir qabel fl-istabbiliment</w:t>
      </w:r>
    </w:p>
    <w:p w14:paraId="16BF900A" w14:textId="77777777" w:rsidR="007D70E6" w:rsidRPr="00D2200E" w:rsidRDefault="007D70E6" w:rsidP="007D70E6">
      <w:pPr>
        <w:pStyle w:val="Text2"/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ab/>
        <w:t>id-diversifikazzjoni tal-output ta’ stabbiliment fi prodotti li ma kinux prodotti qabel fl-istabbiliment skont it-tliet kundizzjonijiet kumulattivi tal-paragrafu 14 tal-RAG</w:t>
      </w:r>
      <w:r>
        <w:rPr>
          <w:rStyle w:val="FootnoteReference"/>
        </w:rPr>
        <w:footnoteReference w:id="6"/>
      </w:r>
    </w:p>
    <w:p w14:paraId="4E058FC5" w14:textId="13EC4B10" w:rsidR="007D70E6" w:rsidRPr="00D2200E" w:rsidRDefault="007D70E6" w:rsidP="007D70E6">
      <w:pPr>
        <w:pStyle w:val="Normal127Indent127"/>
        <w:tabs>
          <w:tab w:val="clear" w:pos="1797"/>
          <w:tab w:val="left" w:pos="2410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ab/>
        <w:t>bidla fundamentali fil-proċess ta’ produzzjoni ġenerali tal-prodott(i) ikkonċernat(i) mill-investiment fl-istabbiliment skont it-tliet kundizzjonijiet kumulattivi tal-paragrafu 14 tal-RAG</w:t>
      </w:r>
    </w:p>
    <w:p w14:paraId="466964FD" w14:textId="77777777" w:rsidR="007D70E6" w:rsidRDefault="007D70E6" w:rsidP="007D70E6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ab/>
        <w:t xml:space="preserve">l-akkwiżizzjoni ta’ assi li jappartjenu għal stabbiliment li għalaq jew li kien jagħlaq li kieku ma </w:t>
      </w:r>
      <w:proofErr w:type="spellStart"/>
      <w:r>
        <w:t>nxtarax</w:t>
      </w:r>
      <w:proofErr w:type="spellEnd"/>
      <w:r>
        <w:t>, bil-kundizzjoni li l-attività l-ġdida li se ssir bl-użu tal-assi akkwistati ma tkunx l-istess attività jew waħda simili għall-attività mwettqa fl-istabbiliment qabel l-akkwiżizzjoni</w:t>
      </w:r>
      <w:r>
        <w:rPr>
          <w:rStyle w:val="FootnoteReference"/>
        </w:rPr>
        <w:footnoteReference w:id="7"/>
      </w:r>
      <w:r>
        <w:t xml:space="preserve"> </w:t>
      </w:r>
    </w:p>
    <w:p w14:paraId="54541161" w14:textId="77777777" w:rsidR="00D2200E" w:rsidRPr="00D16D8D" w:rsidRDefault="00633A52" w:rsidP="00D16D8D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Jekk jogħġbok agħti deskrizzjoni qasira tal-proġett ta’ investiment li tispjega wkoll kif il-proġett ikkonċernat jaqa’ fi ħdan waħda jew aktar mill-kategoriji ta’ investiment inizjali indikati hawn fuq: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1118C4" w14:paraId="7C42C9EA" w14:textId="77777777" w:rsidTr="00772CF3">
        <w:tc>
          <w:tcPr>
            <w:tcW w:w="8391" w:type="dxa"/>
            <w:shd w:val="clear" w:color="auto" w:fill="auto"/>
          </w:tcPr>
          <w:p w14:paraId="382B9D6A" w14:textId="77777777" w:rsidR="001118C4" w:rsidRDefault="00AF634A" w:rsidP="000D782C">
            <w:r>
              <w:t>…</w:t>
            </w:r>
          </w:p>
        </w:tc>
      </w:tr>
    </w:tbl>
    <w:p w14:paraId="2949111E" w14:textId="77777777" w:rsidR="004A7C2E" w:rsidRDefault="004A7C2E" w:rsidP="004A7C2E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>Kostijiet eliġibbli kkalkolati abbażi tal-kostijiet ta’ investiment</w:t>
      </w:r>
    </w:p>
    <w:p w14:paraId="73227028" w14:textId="77777777" w:rsidR="00E940DB" w:rsidRPr="009830AE" w:rsidRDefault="00E940DB" w:rsidP="00033078">
      <w:pPr>
        <w:pStyle w:val="NormalKop111"/>
        <w:numPr>
          <w:ilvl w:val="2"/>
          <w:numId w:val="2"/>
        </w:numPr>
        <w:ind w:left="1418" w:hanging="698"/>
        <w:rPr>
          <w:rFonts w:cs="Times New Roman"/>
          <w:color w:val="000000"/>
        </w:rPr>
      </w:pPr>
      <w:r>
        <w:rPr>
          <w:color w:val="000000"/>
        </w:rPr>
        <w:t>Jekk jogħġbok ipprovdi r-rendikont li ġej tal-kostijiet ta’ investiment totali eliġibbli f’valur nominali u skontat:</w:t>
      </w:r>
    </w:p>
    <w:p w14:paraId="0B359A95" w14:textId="77777777" w:rsidR="00033078" w:rsidRDefault="00033078">
      <w:r>
        <w:br w:type="page"/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28"/>
        <w:gridCol w:w="1418"/>
        <w:gridCol w:w="1417"/>
      </w:tblGrid>
      <w:tr w:rsidR="00516B30" w14:paraId="458BEC67" w14:textId="77777777" w:rsidTr="009C5F4C">
        <w:tc>
          <w:tcPr>
            <w:tcW w:w="5528" w:type="dxa"/>
            <w:shd w:val="clear" w:color="auto" w:fill="auto"/>
          </w:tcPr>
          <w:p w14:paraId="2277F6E9" w14:textId="77777777" w:rsidR="00516B30" w:rsidRPr="00633A52" w:rsidRDefault="00516B30" w:rsidP="00E940D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F4805A2" w14:textId="77777777" w:rsidR="00516B30" w:rsidRPr="00633A52" w:rsidRDefault="00516B30" w:rsidP="009C5F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Kost totali eliġibbli (nominali)</w:t>
            </w:r>
            <w:r>
              <w:rPr>
                <w:sz w:val="20"/>
                <w:vertAlign w:val="superscript"/>
              </w:rPr>
              <w:t>(°)</w:t>
            </w:r>
          </w:p>
        </w:tc>
        <w:tc>
          <w:tcPr>
            <w:tcW w:w="1417" w:type="dxa"/>
          </w:tcPr>
          <w:p w14:paraId="390D1283" w14:textId="77777777" w:rsidR="00516B30" w:rsidRPr="00633A52" w:rsidRDefault="00516B30" w:rsidP="009C5F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Kost totali eliġibbli (skontat)</w:t>
            </w:r>
            <w:r>
              <w:rPr>
                <w:sz w:val="20"/>
                <w:vertAlign w:val="superscript"/>
              </w:rPr>
              <w:t>(°)</w:t>
            </w:r>
          </w:p>
        </w:tc>
      </w:tr>
      <w:tr w:rsidR="00516B30" w14:paraId="4CBB0242" w14:textId="77777777" w:rsidTr="009C5F4C">
        <w:tc>
          <w:tcPr>
            <w:tcW w:w="5528" w:type="dxa"/>
            <w:shd w:val="clear" w:color="auto" w:fill="auto"/>
          </w:tcPr>
          <w:p w14:paraId="23F909D4" w14:textId="77777777" w:rsidR="00516B30" w:rsidRPr="00633A52" w:rsidRDefault="00516B30" w:rsidP="00E940D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>Studji preparatorji jew kostijiet ta’ konsulenza marbutin mal-investiment (</w:t>
            </w:r>
            <w:proofErr w:type="spellStart"/>
            <w:r>
              <w:rPr>
                <w:color w:val="000000"/>
                <w:sz w:val="20"/>
              </w:rPr>
              <w:t>SMEs</w:t>
            </w:r>
            <w:proofErr w:type="spellEnd"/>
            <w:r>
              <w:rPr>
                <w:color w:val="000000"/>
                <w:sz w:val="20"/>
              </w:rPr>
              <w:t xml:space="preserve"> biss)</w:t>
            </w:r>
          </w:p>
        </w:tc>
        <w:tc>
          <w:tcPr>
            <w:tcW w:w="1418" w:type="dxa"/>
            <w:shd w:val="clear" w:color="auto" w:fill="auto"/>
          </w:tcPr>
          <w:p w14:paraId="23FADEC3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A40A306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516B30" w14:paraId="3BB92E21" w14:textId="77777777" w:rsidTr="009C5F4C">
        <w:tc>
          <w:tcPr>
            <w:tcW w:w="5528" w:type="dxa"/>
            <w:shd w:val="clear" w:color="auto" w:fill="auto"/>
          </w:tcPr>
          <w:p w14:paraId="3D527917" w14:textId="77777777" w:rsidR="00516B30" w:rsidRPr="00633A52" w:rsidRDefault="00516B30" w:rsidP="00E940DB">
            <w:pPr>
              <w:rPr>
                <w:sz w:val="20"/>
                <w:szCs w:val="20"/>
              </w:rPr>
            </w:pPr>
            <w:r>
              <w:rPr>
                <w:sz w:val="20"/>
              </w:rPr>
              <w:t>Art</w:t>
            </w:r>
          </w:p>
        </w:tc>
        <w:tc>
          <w:tcPr>
            <w:tcW w:w="1418" w:type="dxa"/>
            <w:shd w:val="clear" w:color="auto" w:fill="auto"/>
          </w:tcPr>
          <w:p w14:paraId="1FFC3C67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AA5F51D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516B30" w14:paraId="3237FC3F" w14:textId="77777777" w:rsidTr="009C5F4C">
        <w:tc>
          <w:tcPr>
            <w:tcW w:w="5528" w:type="dxa"/>
            <w:shd w:val="clear" w:color="auto" w:fill="auto"/>
          </w:tcPr>
          <w:p w14:paraId="4A2B8499" w14:textId="77777777" w:rsidR="00516B30" w:rsidRPr="00633A52" w:rsidRDefault="00516B30" w:rsidP="00E940DB">
            <w:pPr>
              <w:rPr>
                <w:sz w:val="20"/>
                <w:szCs w:val="20"/>
              </w:rPr>
            </w:pPr>
            <w:r>
              <w:rPr>
                <w:sz w:val="20"/>
              </w:rPr>
              <w:t>Bini</w:t>
            </w:r>
          </w:p>
        </w:tc>
        <w:tc>
          <w:tcPr>
            <w:tcW w:w="1418" w:type="dxa"/>
            <w:shd w:val="clear" w:color="auto" w:fill="auto"/>
          </w:tcPr>
          <w:p w14:paraId="028ACEE8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2304E49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516B30" w14:paraId="085A6C34" w14:textId="77777777" w:rsidTr="009C5F4C">
        <w:tc>
          <w:tcPr>
            <w:tcW w:w="5528" w:type="dxa"/>
            <w:shd w:val="clear" w:color="auto" w:fill="auto"/>
          </w:tcPr>
          <w:p w14:paraId="28D4D06F" w14:textId="77777777" w:rsidR="00516B30" w:rsidRPr="00633A52" w:rsidRDefault="00516B30" w:rsidP="00970914">
            <w:pPr>
              <w:rPr>
                <w:sz w:val="20"/>
                <w:szCs w:val="20"/>
              </w:rPr>
            </w:pPr>
            <w:r>
              <w:rPr>
                <w:sz w:val="20"/>
              </w:rPr>
              <w:t>Impjant/makkinarju/tagħmir</w:t>
            </w:r>
          </w:p>
        </w:tc>
        <w:tc>
          <w:tcPr>
            <w:tcW w:w="1418" w:type="dxa"/>
            <w:shd w:val="clear" w:color="auto" w:fill="auto"/>
          </w:tcPr>
          <w:p w14:paraId="074CFA1C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F23B819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516B30" w14:paraId="6784731F" w14:textId="77777777" w:rsidTr="009C5F4C">
        <w:tc>
          <w:tcPr>
            <w:tcW w:w="5528" w:type="dxa"/>
            <w:shd w:val="clear" w:color="auto" w:fill="auto"/>
          </w:tcPr>
          <w:p w14:paraId="0FF5C78F" w14:textId="77777777" w:rsidR="00516B30" w:rsidRPr="00633A52" w:rsidRDefault="00516B30" w:rsidP="00E940DB">
            <w:pPr>
              <w:rPr>
                <w:sz w:val="20"/>
                <w:szCs w:val="20"/>
              </w:rPr>
            </w:pPr>
            <w:r>
              <w:rPr>
                <w:sz w:val="20"/>
              </w:rPr>
              <w:t>Assi intanġibbli</w:t>
            </w:r>
          </w:p>
        </w:tc>
        <w:tc>
          <w:tcPr>
            <w:tcW w:w="1418" w:type="dxa"/>
            <w:shd w:val="clear" w:color="auto" w:fill="auto"/>
          </w:tcPr>
          <w:p w14:paraId="62F5630F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AE6136F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516B30" w14:paraId="55625B95" w14:textId="77777777" w:rsidTr="009C5F4C">
        <w:tc>
          <w:tcPr>
            <w:tcW w:w="5528" w:type="dxa"/>
            <w:shd w:val="clear" w:color="auto" w:fill="auto"/>
          </w:tcPr>
          <w:p w14:paraId="5F415862" w14:textId="77777777" w:rsidR="00516B30" w:rsidRPr="00633A52" w:rsidRDefault="00516B30" w:rsidP="00E940DB">
            <w:pPr>
              <w:rPr>
                <w:sz w:val="20"/>
                <w:szCs w:val="20"/>
              </w:rPr>
            </w:pPr>
            <w:r>
              <w:rPr>
                <w:sz w:val="20"/>
              </w:rPr>
              <w:t>Kost totali eliġibbli</w:t>
            </w:r>
          </w:p>
        </w:tc>
        <w:tc>
          <w:tcPr>
            <w:tcW w:w="1418" w:type="dxa"/>
            <w:shd w:val="clear" w:color="auto" w:fill="auto"/>
          </w:tcPr>
          <w:p w14:paraId="68E8858F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B58B69C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</w:tr>
    </w:tbl>
    <w:p w14:paraId="396045F6" w14:textId="77777777" w:rsidR="00E940DB" w:rsidRPr="00C359A9" w:rsidRDefault="00E940DB" w:rsidP="00E940DB">
      <w:pPr>
        <w:rPr>
          <w:i/>
          <w:sz w:val="20"/>
          <w:szCs w:val="20"/>
        </w:rPr>
      </w:pPr>
      <w:r>
        <w:tab/>
      </w:r>
      <w:r>
        <w:rPr>
          <w:i/>
          <w:sz w:val="20"/>
        </w:rPr>
        <w:t>(°) F’munita nazzjonali (ara wkoll il-punt 2.5 hawn taħt)</w:t>
      </w:r>
    </w:p>
    <w:p w14:paraId="3D68B83F" w14:textId="77777777" w:rsidR="00BC08A3" w:rsidRPr="0025149B" w:rsidRDefault="004255FA" w:rsidP="00093A59">
      <w:pPr>
        <w:pStyle w:val="NormalKop111"/>
        <w:numPr>
          <w:ilvl w:val="2"/>
          <w:numId w:val="2"/>
        </w:numPr>
        <w:ind w:left="1225" w:hanging="505"/>
        <w:rPr>
          <w:rFonts w:cs="Times New Roman"/>
          <w:color w:val="000000"/>
        </w:rPr>
      </w:pPr>
      <w:r>
        <w:t>Jekk jogħġbok ikkonferma li l-assi akkwistati huma ġodda (il-paragrafu 27 tal-RAG)</w:t>
      </w:r>
      <w:r>
        <w:rPr>
          <w:rStyle w:val="FootnoteReference"/>
          <w:color w:val="000000"/>
        </w:rPr>
        <w:footnoteReference w:id="8"/>
      </w:r>
      <w:r>
        <w:t>.</w:t>
      </w:r>
      <w:r>
        <w:rPr>
          <w:color w:val="000000"/>
        </w:rP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C08A3" w14:paraId="10DDC4C7" w14:textId="77777777" w:rsidTr="00D92FE1">
        <w:tc>
          <w:tcPr>
            <w:tcW w:w="8391" w:type="dxa"/>
            <w:shd w:val="clear" w:color="auto" w:fill="auto"/>
          </w:tcPr>
          <w:p w14:paraId="75712678" w14:textId="77777777" w:rsidR="00BC08A3" w:rsidRDefault="00AD198F" w:rsidP="00D92FE1">
            <w:r>
              <w:t>…</w:t>
            </w:r>
          </w:p>
        </w:tc>
      </w:tr>
    </w:tbl>
    <w:p w14:paraId="26D2D173" w14:textId="77777777" w:rsidR="000432CC" w:rsidRPr="00D16D8D" w:rsidRDefault="000432CC" w:rsidP="00D16D8D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Jekk jogħġbok ipprovdi evidenza sabiex turi li fil-każ ta’ </w:t>
      </w:r>
      <w:proofErr w:type="spellStart"/>
      <w:r>
        <w:rPr>
          <w:color w:val="000000"/>
        </w:rPr>
        <w:t>SMEs</w:t>
      </w:r>
      <w:proofErr w:type="spellEnd"/>
      <w:r>
        <w:rPr>
          <w:color w:val="000000"/>
        </w:rPr>
        <w:t xml:space="preserve"> mhux aktar minn 50 % tal-kostijiet ta’ studji preparatorji jew kostijiet ta’ konsulenza marbutin mal-investiment huma inklużi fil-kostijiet eliġibbli (il-paragrafu 28 tal-RAG).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D61906" w14:paraId="76548EFF" w14:textId="77777777" w:rsidTr="00772CF3">
        <w:tc>
          <w:tcPr>
            <w:tcW w:w="8391" w:type="dxa"/>
            <w:shd w:val="clear" w:color="auto" w:fill="auto"/>
          </w:tcPr>
          <w:p w14:paraId="00B9E360" w14:textId="77777777" w:rsidR="00D61906" w:rsidRDefault="00D61906" w:rsidP="000D782C">
            <w:r>
              <w:t>…</w:t>
            </w:r>
          </w:p>
        </w:tc>
      </w:tr>
    </w:tbl>
    <w:p w14:paraId="24FEC486" w14:textId="77777777" w:rsidR="00D61906" w:rsidRDefault="00D61906" w:rsidP="00D61906"/>
    <w:p w14:paraId="5CC61FAC" w14:textId="77777777" w:rsidR="000432CC" w:rsidRPr="00D16D8D" w:rsidRDefault="00D61906" w:rsidP="00D16D8D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Jekk jogħġbok ipprovdi evidenza sabiex turi li rigward l-għajnuna mogħtija lil intrapriżi kbar għal bidla fundamentali fil-proċess tal-produzzjoni, il-kostijiet eliġibbli jeċċedu d-deprezzament tal-assi marbutin mal-attività li għandha tiġi mmodernizzata matul it-3 snin fiskali ta’ qabel (il-paragrafu 29 tal-RAG).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D61906" w14:paraId="70A92074" w14:textId="77777777" w:rsidTr="00772CF3">
        <w:tc>
          <w:tcPr>
            <w:tcW w:w="8391" w:type="dxa"/>
            <w:shd w:val="clear" w:color="auto" w:fill="auto"/>
          </w:tcPr>
          <w:p w14:paraId="37B9DEE7" w14:textId="77777777" w:rsidR="00D61906" w:rsidRDefault="00D61906" w:rsidP="000D782C">
            <w:r>
              <w:t>…</w:t>
            </w:r>
          </w:p>
        </w:tc>
      </w:tr>
    </w:tbl>
    <w:p w14:paraId="234EE87F" w14:textId="77777777" w:rsidR="00D61906" w:rsidRPr="00D16D8D" w:rsidRDefault="000432CC" w:rsidP="00D16D8D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Jekk jogħġbok ipprovdi referenza għall-bażi ġuridika jew spjega kif inhu żgurat li għall-għajnuna mogħtija għal diversifikazzjoni ta’ stabbiliment eżistenti, il-kostijiet eliġibbli jeċċedu b’mill-anqas 200 % l-valur kontabbli tal-assi li jkunu qegħdin jerġgħu jintużaw, kif irreġistrat fis-sena fiskali ta’ qabel il-bidu tax-xogħlijiet (il-paragrafu 30 tal-RAG). Jekk ikun xieraq, ipprovdi dokumentazzjoni li tinkludi d-</w:t>
      </w:r>
      <w:r>
        <w:rPr>
          <w:i/>
          <w:color w:val="000000"/>
        </w:rPr>
        <w:t>data</w:t>
      </w:r>
      <w:r>
        <w:rPr>
          <w:color w:val="000000"/>
        </w:rPr>
        <w:t xml:space="preserve"> kwantitattiva rilevanti.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D61906" w14:paraId="3E61676E" w14:textId="77777777" w:rsidTr="00772CF3">
        <w:tc>
          <w:tcPr>
            <w:tcW w:w="8391" w:type="dxa"/>
            <w:shd w:val="clear" w:color="auto" w:fill="auto"/>
          </w:tcPr>
          <w:p w14:paraId="253A0869" w14:textId="77777777" w:rsidR="00D61906" w:rsidRDefault="00D61906" w:rsidP="000D782C">
            <w:r>
              <w:t>…</w:t>
            </w:r>
          </w:p>
        </w:tc>
      </w:tr>
    </w:tbl>
    <w:p w14:paraId="39C9C526" w14:textId="77777777" w:rsidR="000432CC" w:rsidRPr="009830AE" w:rsidRDefault="000432CC" w:rsidP="00033078">
      <w:pPr>
        <w:pStyle w:val="Normal127Indent127"/>
        <w:spacing w:after="0"/>
      </w:pPr>
    </w:p>
    <w:p w14:paraId="0C9D02A6" w14:textId="77777777" w:rsidR="000432CC" w:rsidRPr="009830AE" w:rsidRDefault="000D782C" w:rsidP="00033078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spacing w:before="0"/>
        <w:ind w:left="1418" w:hanging="698"/>
        <w:rPr>
          <w:color w:val="000000"/>
        </w:rPr>
      </w:pPr>
      <w:r>
        <w:rPr>
          <w:color w:val="000000"/>
        </w:rPr>
        <w:t xml:space="preserve">F’każijiet li jinvolvu l-lokazzjoni ta’ assi tanġibbli, jekk jogħġbok ipprovdi referenza għad-dispożizzjonijiet rilevanti fil-bażi ġuridika fejn huwa stipulat li l-kundizzjonijiet li ġejjin huma rispettati (il-paragrafu 31 tal-RAG) jew spjega kif dan jista’ jintlaħaq b’mod ieħor. </w:t>
      </w:r>
    </w:p>
    <w:p w14:paraId="7E7B447C" w14:textId="77777777" w:rsidR="000432CC" w:rsidRPr="000D782C" w:rsidRDefault="000432CC" w:rsidP="00633A52">
      <w:pPr>
        <w:pStyle w:val="Normal127Bullet63"/>
        <w:spacing w:before="120" w:after="120"/>
      </w:pPr>
      <w:r>
        <w:t xml:space="preserve">fil-każ ta’ art u bini, il-lokazzjoni trid tkompli għal mill-anqas 5 snin wara d-data li fiha huwa mistenni li jitlesta l-investiment fil-każ ta’ intrapriżi kbar, u għal 3 snin fil-każ ta’ </w:t>
      </w:r>
      <w:proofErr w:type="spellStart"/>
      <w:r>
        <w:t>SMEs</w:t>
      </w:r>
      <w:proofErr w:type="spellEnd"/>
      <w:r>
        <w:t>;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0D782C" w14:paraId="332DFC9D" w14:textId="77777777" w:rsidTr="00093A59">
        <w:tc>
          <w:tcPr>
            <w:tcW w:w="8363" w:type="dxa"/>
            <w:shd w:val="clear" w:color="auto" w:fill="auto"/>
          </w:tcPr>
          <w:p w14:paraId="59FF535D" w14:textId="77777777" w:rsidR="000D782C" w:rsidRDefault="000D782C" w:rsidP="000D782C">
            <w:r>
              <w:t xml:space="preserve">… </w:t>
            </w:r>
          </w:p>
        </w:tc>
      </w:tr>
    </w:tbl>
    <w:p w14:paraId="0640E71C" w14:textId="77777777" w:rsidR="000432CC" w:rsidRPr="000D782C" w:rsidRDefault="000432CC" w:rsidP="00633A52">
      <w:pPr>
        <w:pStyle w:val="Normal127Bullet63"/>
        <w:spacing w:before="240" w:after="120"/>
      </w:pPr>
      <w:r>
        <w:lastRenderedPageBreak/>
        <w:t xml:space="preserve">fil-każ ta’ impjanti jew makkinarju, il-lokazzjoni trid tieħu l-forma ta’ lokazzjoni finanzjarja u trid tinkludi obbligu għall-benefiċjarju tal-għajnuna sabiex jixtri l-assi malli jiskadi t-terminu tal-lokazzjoni.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0D782C" w14:paraId="1DA20F2C" w14:textId="77777777" w:rsidTr="00093A59">
        <w:tc>
          <w:tcPr>
            <w:tcW w:w="8363" w:type="dxa"/>
            <w:shd w:val="clear" w:color="auto" w:fill="auto"/>
          </w:tcPr>
          <w:p w14:paraId="02EEC902" w14:textId="77777777" w:rsidR="000D782C" w:rsidRDefault="000D782C" w:rsidP="000D782C">
            <w:r>
              <w:t xml:space="preserve">… </w:t>
            </w:r>
          </w:p>
        </w:tc>
      </w:tr>
    </w:tbl>
    <w:p w14:paraId="6D2CBC5D" w14:textId="77777777" w:rsidR="00A96151" w:rsidRPr="00A80D24" w:rsidRDefault="00A96151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Il-paragrafu 32 tal-RAG jistipula li fil-każ ta’ akkwiżizzjoni ta’ stabbiliment “</w:t>
      </w:r>
      <w:r>
        <w:rPr>
          <w:i/>
          <w:color w:val="000000"/>
        </w:rPr>
        <w:t>fil-prinċipju jenħtieġ li jitqiesu biss il-kostijiet tax-xiri tal-assi minn partijiet terzi mhux relatati max-xerrej</w:t>
      </w:r>
      <w:r>
        <w:rPr>
          <w:color w:val="000000"/>
        </w:rPr>
        <w:t>.</w:t>
      </w:r>
      <w:r>
        <w:rPr>
          <w:i/>
          <w:color w:val="000000"/>
        </w:rPr>
        <w:t xml:space="preserve"> Madankollu, jekk membru tal-familja tas-sid oriġinali, jew impjegat, jieħu f’idejh intrapriża żgħira, il-kundizzjoni li l-assi jridu jinxtraw minn partijiet terzi mhux relatati max-xerrej ma tapplikax. It-tranżazzjoni trid isseħħ skont il-kundizzjonijiet tas-suq. Jekk l-akkwiżizzjoni tal-assi ta’ stabbiliment tkun akkumpanjata minn investiment addizzjonali eliġibbli għall-għajnuna reġjonali, il-kostijiet eliġibbli ta’ dak l-investiment addizzjonali jenħtieġ li jiġu miżjuda </w:t>
      </w:r>
      <w:proofErr w:type="spellStart"/>
      <w:r>
        <w:rPr>
          <w:i/>
          <w:color w:val="000000"/>
        </w:rPr>
        <w:t>mal</w:t>
      </w:r>
      <w:proofErr w:type="spellEnd"/>
      <w:r>
        <w:rPr>
          <w:i/>
          <w:color w:val="000000"/>
        </w:rPr>
        <w:t>-kostijiet tal-akkwiżizzjoni tal-assi tal-istabbiliment.</w:t>
      </w:r>
      <w:r>
        <w:rPr>
          <w:color w:val="000000"/>
        </w:rPr>
        <w:t xml:space="preserve">” </w:t>
      </w:r>
    </w:p>
    <w:p w14:paraId="68432129" w14:textId="77777777" w:rsidR="000432CC" w:rsidRDefault="00A96151" w:rsidP="00A80D24">
      <w:pPr>
        <w:pStyle w:val="Normal127"/>
      </w:pPr>
      <w:r>
        <w:t xml:space="preserve">Jekk huwa rilevanti fil-każ notifikat, spjega kif dawk il-kundizzjonijiet ġew issodisfati, billi tipprovdi dokumentazzjoni ta’ sostenn rilevanti.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A96151" w14:paraId="52363A88" w14:textId="77777777" w:rsidTr="00772CF3">
        <w:tc>
          <w:tcPr>
            <w:tcW w:w="8391" w:type="dxa"/>
            <w:shd w:val="clear" w:color="auto" w:fill="auto"/>
          </w:tcPr>
          <w:p w14:paraId="725C18F4" w14:textId="77777777" w:rsidR="00A96151" w:rsidRDefault="003947BC" w:rsidP="0039571D">
            <w:r>
              <w:t>…</w:t>
            </w:r>
          </w:p>
        </w:tc>
      </w:tr>
    </w:tbl>
    <w:p w14:paraId="057050D9" w14:textId="3AA2DB62" w:rsidR="000432CC" w:rsidRPr="00D16D8D" w:rsidRDefault="008221B1" w:rsidP="00BC08A3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Jekk il-kostijiet eliġibbli għall-proġett ta’ investiment jinkludu assi intanġibbli, spjega kif hu żgurat li se jiġu rrispettati l-kundizzjonijiet stabbiliti fil-paragrafi 33 u 34 tal-RAG</w:t>
      </w:r>
      <w:r>
        <w:rPr>
          <w:color w:val="000000"/>
          <w:vertAlign w:val="superscript"/>
        </w:rPr>
        <w:footnoteReference w:id="9"/>
      </w:r>
      <w:r>
        <w:rPr>
          <w:color w:val="000000"/>
        </w:rPr>
        <w:t>. F’każijiet bħal dawn jekk jogħġbok ipprovdi referenza preċiża għad-dispożizzjoni rilevanti fil-bażi ġuridika.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684A3B" w14:paraId="0E3D9118" w14:textId="77777777" w:rsidTr="00772CF3">
        <w:tc>
          <w:tcPr>
            <w:tcW w:w="8391" w:type="dxa"/>
            <w:shd w:val="clear" w:color="auto" w:fill="auto"/>
          </w:tcPr>
          <w:p w14:paraId="40DA355A" w14:textId="77777777" w:rsidR="00684A3B" w:rsidRDefault="003947BC" w:rsidP="0039571D">
            <w:r>
              <w:t>…</w:t>
            </w:r>
          </w:p>
        </w:tc>
      </w:tr>
    </w:tbl>
    <w:p w14:paraId="6AF3FF90" w14:textId="77777777" w:rsidR="000432CC" w:rsidRPr="00684A3B" w:rsidRDefault="000432CC" w:rsidP="00093A59">
      <w:pPr>
        <w:pStyle w:val="NormalKop11"/>
        <w:numPr>
          <w:ilvl w:val="1"/>
          <w:numId w:val="2"/>
        </w:numPr>
        <w:ind w:left="720" w:hanging="720"/>
        <w:rPr>
          <w:rFonts w:cs="Times New Roman"/>
          <w:b/>
          <w:color w:val="000000"/>
        </w:rPr>
      </w:pPr>
      <w:r>
        <w:rPr>
          <w:b/>
          <w:color w:val="000000"/>
        </w:rPr>
        <w:t>Kostijiet eliġibbli kkalkolati abbażi tal-kostijiet tal-pagi</w:t>
      </w:r>
    </w:p>
    <w:p w14:paraId="2DA019D8" w14:textId="77777777" w:rsidR="002A74E7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Jekk jogħġbok:</w:t>
      </w:r>
    </w:p>
    <w:p w14:paraId="720C47E9" w14:textId="77777777" w:rsidR="002A74E7" w:rsidRDefault="00864276" w:rsidP="002A74E7">
      <w:pPr>
        <w:pStyle w:val="NormalKop111"/>
        <w:numPr>
          <w:ilvl w:val="0"/>
          <w:numId w:val="27"/>
        </w:numPr>
        <w:tabs>
          <w:tab w:val="clear" w:pos="720"/>
          <w:tab w:val="clear" w:pos="1440"/>
          <w:tab w:val="clear" w:pos="1797"/>
        </w:tabs>
        <w:rPr>
          <w:color w:val="000000"/>
        </w:rPr>
      </w:pPr>
      <w:r>
        <w:rPr>
          <w:color w:val="000000"/>
        </w:rPr>
        <w:t>spjega kif il-kostijiet eliġibbli kkalkolati fuq il-bażi tal-kostijiet tal-pagi ġew stabbiliti (il-paragrafu 35 tal-RAG);</w:t>
      </w:r>
    </w:p>
    <w:p w14:paraId="5C2FAAAE" w14:textId="33410CE6" w:rsidR="002A74E7" w:rsidRDefault="002A74E7" w:rsidP="002A74E7">
      <w:pPr>
        <w:pStyle w:val="NormalKop111"/>
        <w:numPr>
          <w:ilvl w:val="0"/>
          <w:numId w:val="27"/>
        </w:numPr>
        <w:tabs>
          <w:tab w:val="clear" w:pos="720"/>
          <w:tab w:val="clear" w:pos="1440"/>
          <w:tab w:val="clear" w:pos="1797"/>
        </w:tabs>
        <w:rPr>
          <w:color w:val="000000"/>
        </w:rPr>
      </w:pPr>
      <w:r>
        <w:rPr>
          <w:color w:val="000000"/>
        </w:rPr>
        <w:t>spjega kif in-numru ta’ impjiegi maħluqin ġie kkalkolat b’referenza għall-paragrafu 19(16) tal-RAG;</w:t>
      </w:r>
    </w:p>
    <w:p w14:paraId="2BB3CAED" w14:textId="77777777" w:rsidR="002A74E7" w:rsidRDefault="002A74E7" w:rsidP="002A74E7">
      <w:pPr>
        <w:pStyle w:val="NormalKop111"/>
        <w:numPr>
          <w:ilvl w:val="0"/>
          <w:numId w:val="27"/>
        </w:numPr>
        <w:tabs>
          <w:tab w:val="clear" w:pos="720"/>
          <w:tab w:val="clear" w:pos="1440"/>
          <w:tab w:val="clear" w:pos="1797"/>
        </w:tabs>
        <w:rPr>
          <w:color w:val="000000"/>
        </w:rPr>
      </w:pPr>
      <w:r>
        <w:rPr>
          <w:color w:val="000000"/>
        </w:rPr>
        <w:t>spjega kif il-kostijiet tal-pagi tal-persuni mqabbdin ġew stabbiliti b’referenza għall-paragrafu 19(33) tal-RAG; u</w:t>
      </w:r>
    </w:p>
    <w:p w14:paraId="2B7CA749" w14:textId="77777777" w:rsidR="000432CC" w:rsidRPr="00D16D8D" w:rsidRDefault="0010307A" w:rsidP="002A74E7">
      <w:pPr>
        <w:pStyle w:val="NormalKop111"/>
        <w:numPr>
          <w:ilvl w:val="0"/>
          <w:numId w:val="27"/>
        </w:numPr>
        <w:tabs>
          <w:tab w:val="clear" w:pos="720"/>
          <w:tab w:val="clear" w:pos="1440"/>
          <w:tab w:val="clear" w:pos="1797"/>
        </w:tabs>
        <w:rPr>
          <w:color w:val="000000"/>
        </w:rPr>
      </w:pPr>
      <w:r>
        <w:rPr>
          <w:color w:val="000000"/>
        </w:rPr>
        <w:br w:type="page"/>
      </w:r>
      <w:r>
        <w:rPr>
          <w:color w:val="000000"/>
        </w:rPr>
        <w:lastRenderedPageBreak/>
        <w:t xml:space="preserve">pprovdi l-kalkoli u d-dokumentazzjoni rilevanti ta’ sostenn għaċ-ċifri. </w:t>
      </w:r>
      <w:r>
        <w:tab/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162C83" w14:paraId="5B4D6893" w14:textId="77777777" w:rsidTr="00772CF3">
        <w:tc>
          <w:tcPr>
            <w:tcW w:w="8391" w:type="dxa"/>
            <w:shd w:val="clear" w:color="auto" w:fill="auto"/>
          </w:tcPr>
          <w:p w14:paraId="682A7668" w14:textId="77777777" w:rsidR="00162C83" w:rsidRDefault="00162C83" w:rsidP="0039571D">
            <w:r>
              <w:t>…</w:t>
            </w:r>
          </w:p>
          <w:p w14:paraId="400D5A49" w14:textId="77777777" w:rsidR="00162C83" w:rsidRDefault="00162C83" w:rsidP="0039571D">
            <w:r>
              <w:t>…</w:t>
            </w:r>
          </w:p>
        </w:tc>
      </w:tr>
    </w:tbl>
    <w:p w14:paraId="43B1C93C" w14:textId="77777777" w:rsidR="00AA5619" w:rsidRDefault="00AA5619" w:rsidP="00653940">
      <w:pPr>
        <w:pStyle w:val="NormalKop11"/>
        <w:numPr>
          <w:ilvl w:val="1"/>
          <w:numId w:val="2"/>
        </w:numPr>
        <w:ind w:left="720" w:hanging="720"/>
        <w:rPr>
          <w:rFonts w:cs="EUAlbertina"/>
          <w:color w:val="000000"/>
        </w:rPr>
      </w:pPr>
      <w:r>
        <w:rPr>
          <w:b/>
          <w:color w:val="000000"/>
        </w:rPr>
        <w:t>Kalkolu tal-kostijiet eliġibbli skontati u l-ammont ta’ għajnuna</w:t>
      </w:r>
      <w:r>
        <w:rPr>
          <w:color w:val="000000"/>
        </w:rPr>
        <w:t xml:space="preserve"> </w:t>
      </w:r>
    </w:p>
    <w:p w14:paraId="1681E9FA" w14:textId="77777777" w:rsidR="0039571D" w:rsidRPr="00D16D8D" w:rsidRDefault="0039571D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Jekk jogħġbok imla t-tabella ta’ hawn taħt bid-dettalji tal-kostijiet eliġibbli skont il-kategorija tal-kost eliġibbli li għandu jitħallas kemm idum il-proġett ta’ investiment:</w:t>
      </w:r>
    </w:p>
    <w:tbl>
      <w:tblPr>
        <w:tblW w:w="8678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4"/>
        <w:gridCol w:w="1078"/>
        <w:gridCol w:w="1021"/>
        <w:gridCol w:w="1021"/>
        <w:gridCol w:w="1021"/>
        <w:gridCol w:w="1021"/>
        <w:gridCol w:w="1021"/>
        <w:gridCol w:w="1021"/>
      </w:tblGrid>
      <w:tr w:rsidR="000165F8" w:rsidRPr="0039571D" w14:paraId="75A2C4A1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F9D3DF" w14:textId="77777777" w:rsidR="000165F8" w:rsidRPr="00772CF3" w:rsidRDefault="000165F8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1C064" w14:textId="77777777" w:rsidR="000165F8" w:rsidRPr="00772CF3" w:rsidRDefault="000165F8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Nominali/skontati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7EA6E1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N-0°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D4C475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N+1°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17141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N+2°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29FA7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N+3°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13D016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N+X°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22D71A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Total°</w:t>
            </w:r>
          </w:p>
        </w:tc>
      </w:tr>
      <w:tr w:rsidR="00DC5A80" w14:paraId="6B55E95D" w14:textId="77777777" w:rsidTr="002557B2">
        <w:tc>
          <w:tcPr>
            <w:tcW w:w="1474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05E3992" w14:textId="77777777" w:rsidR="00DC5A80" w:rsidRPr="00772CF3" w:rsidRDefault="00DC5A80" w:rsidP="0003307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Preparatorji </w:t>
            </w:r>
          </w:p>
          <w:p w14:paraId="39D34ADD" w14:textId="77777777" w:rsidR="00DC5A80" w:rsidRPr="00772CF3" w:rsidRDefault="00DC5A80" w:rsidP="0003307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studji eċċ. (</w:t>
            </w:r>
            <w:proofErr w:type="spellStart"/>
            <w:r>
              <w:rPr>
                <w:color w:val="000000"/>
                <w:sz w:val="20"/>
              </w:rPr>
              <w:t>SMEs</w:t>
            </w:r>
            <w:proofErr w:type="spellEnd"/>
            <w:r>
              <w:rPr>
                <w:color w:val="000000"/>
                <w:sz w:val="20"/>
              </w:rPr>
              <w:t xml:space="preserve"> biss)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EBDC4C" w14:textId="77777777" w:rsidR="00DC5A80" w:rsidRPr="00772CF3" w:rsidRDefault="00DC5A80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6F39EE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0E5613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08DEFB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F3959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27CFF8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621F41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DC5A80" w14:paraId="35115590" w14:textId="77777777" w:rsidTr="002557B2">
        <w:tc>
          <w:tcPr>
            <w:tcW w:w="1474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9E68314" w14:textId="77777777" w:rsidR="00DC5A80" w:rsidRPr="00772CF3" w:rsidRDefault="00DC5A80" w:rsidP="000330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3F7E7D" w14:textId="77777777" w:rsidR="00DC5A80" w:rsidRPr="00772CF3" w:rsidRDefault="00DC5A80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E474A6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BEC3B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826ACC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80C5F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0F6084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F69725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621F51E9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50C3719" w14:textId="77777777" w:rsidR="000165F8" w:rsidRPr="00577841" w:rsidRDefault="000165F8" w:rsidP="0003307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Art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AAA65A" w14:textId="77777777" w:rsidR="000165F8" w:rsidRPr="00772CF3" w:rsidRDefault="000165F8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BCB6AA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B88E39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34DADA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CB53D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1A90D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EFA90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1D48B067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64231" w14:textId="77777777" w:rsidR="000165F8" w:rsidRPr="00577841" w:rsidRDefault="000165F8" w:rsidP="00033078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7636E1" w14:textId="77777777" w:rsidR="000165F8" w:rsidRPr="00772CF3" w:rsidRDefault="000165F8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2430DA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72F03E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73438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1B1CF0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1FFCC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2F226F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4E6B4794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08A41C1D" w14:textId="7777777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Bini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D73CF5" w14:textId="77777777" w:rsidR="000165F8" w:rsidRPr="00772CF3" w:rsidRDefault="000165F8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4A543A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E0B04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9590B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9C481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24439B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427ABB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722AF0E6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A5C4F9" w14:textId="7777777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822D84" w14:textId="77777777" w:rsidR="000165F8" w:rsidRPr="00772CF3" w:rsidRDefault="000165F8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190F79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36BB8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F87F16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30319A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EBCD24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9C302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1F5C5A02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468AB33" w14:textId="7777777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Impjant/makkinarju/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7CC946" w14:textId="77777777" w:rsidR="000165F8" w:rsidRPr="00772CF3" w:rsidRDefault="000165F8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42651C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2DC58E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009F04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E152C4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30FBD9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3A9B15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6888AC39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F5CF6D" w14:textId="6198A3A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tagħmir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235420" w14:textId="77777777" w:rsidR="000165F8" w:rsidRPr="00772CF3" w:rsidRDefault="000165F8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F2D0F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5085B2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25D110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D20CA8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C6B8F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F747C2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10E0B8DE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5E44033C" w14:textId="7777777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Assi intanġibbli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3D10A7" w14:textId="77777777" w:rsidR="000165F8" w:rsidRPr="00772CF3" w:rsidRDefault="000165F8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B4BA2D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570C37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C78D7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34A84D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293D6E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268C49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7F56449E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20E94E" w14:textId="7777777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A301D8" w14:textId="77777777" w:rsidR="000165F8" w:rsidRPr="00772CF3" w:rsidRDefault="000165F8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8A9143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F3905B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F5C4CE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8BF331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FD8F44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6E1632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:rsidRPr="00772CF3" w14:paraId="210FF6B8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B93540A" w14:textId="7777777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Kostijiet tal-pagi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BDA2D" w14:textId="77777777" w:rsidR="000165F8" w:rsidRPr="00772CF3" w:rsidRDefault="000165F8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BDC252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D492B1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0C4E0B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1AC93F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A75A25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9F244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:rsidRPr="00772CF3" w14:paraId="2F63EEA5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78A66A" w14:textId="7777777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952BD7" w14:textId="77777777" w:rsidR="000165F8" w:rsidRPr="00772CF3" w:rsidRDefault="000165F8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BFB058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DD069F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53D5C2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C3EB5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3E6752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0E65CA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:rsidRPr="00772CF3" w14:paraId="42462186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7C6F7E0" w14:textId="77777777" w:rsidR="0039571D" w:rsidRPr="00772CF3" w:rsidRDefault="0039571D" w:rsidP="000330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Oħrajn (jekk jogħġbok speċifika)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200E3D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CF0709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4DCC0B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99B1CA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466C8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E17DC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A6423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:rsidRPr="00772CF3" w14:paraId="6A6E2F92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0F5B6" w14:textId="77777777" w:rsidR="0039571D" w:rsidRPr="00772CF3" w:rsidRDefault="0039571D" w:rsidP="000330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5F0D66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1EA6E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DB58C7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E9837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653669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E52D3D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567DD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:rsidRPr="00772CF3" w14:paraId="441A51EC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023ED47" w14:textId="77777777" w:rsidR="0039571D" w:rsidRPr="00772CF3" w:rsidRDefault="0039571D" w:rsidP="000330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527A16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2267CD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F4D3BA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6B5F83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BFDC1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82B4CB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5ECE3B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</w:tr>
      <w:tr w:rsidR="0039571D" w:rsidRPr="00772CF3" w14:paraId="553616BB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C5B62F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AEEAE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D37F98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D2EA20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C8380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FD8FFB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8958CB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01798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</w:tr>
    </w:tbl>
    <w:p w14:paraId="1712EF15" w14:textId="77777777" w:rsidR="00AA5619" w:rsidRPr="00C359A9" w:rsidRDefault="0039571D" w:rsidP="00AA5619">
      <w:pPr>
        <w:pStyle w:val="Normal127Bullet63"/>
        <w:numPr>
          <w:ilvl w:val="0"/>
          <w:numId w:val="0"/>
        </w:numPr>
        <w:ind w:left="1077" w:hanging="357"/>
        <w:rPr>
          <w:i/>
          <w:sz w:val="20"/>
          <w:szCs w:val="20"/>
        </w:rPr>
      </w:pPr>
      <w:r>
        <w:rPr>
          <w:i/>
          <w:sz w:val="20"/>
        </w:rPr>
        <w:t xml:space="preserve">° F’munita nazzjonali </w:t>
      </w:r>
    </w:p>
    <w:p w14:paraId="4C6AC8BA" w14:textId="77777777" w:rsidR="00D577FA" w:rsidRPr="00577841" w:rsidRDefault="0039571D" w:rsidP="00577841">
      <w:pPr>
        <w:pStyle w:val="NormalKop111"/>
        <w:rPr>
          <w:rFonts w:cs="EUAlbertina"/>
          <w:color w:val="000000"/>
        </w:rPr>
      </w:pPr>
      <w:r>
        <w:rPr>
          <w:color w:val="000000"/>
        </w:rPr>
        <w:t>Jekk jogħġbok indika d-data li fiha ġew skontati l-ammonti, kif ukoll ir-rata ta’ skont użata</w:t>
      </w:r>
      <w:r>
        <w:rPr>
          <w:rStyle w:val="FootnoteReference"/>
          <w:rFonts w:cs="EUAlbertina"/>
          <w:color w:val="000000"/>
        </w:rPr>
        <w:footnoteReference w:id="10"/>
      </w:r>
      <w:r>
        <w:rPr>
          <w:color w:val="000000"/>
        </w:rPr>
        <w:t>:</w:t>
      </w:r>
    </w:p>
    <w:tbl>
      <w:tblPr>
        <w:tblW w:w="8647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47"/>
      </w:tblGrid>
      <w:tr w:rsidR="00D577FA" w14:paraId="12DC9F4F" w14:textId="77777777" w:rsidTr="00577841">
        <w:tc>
          <w:tcPr>
            <w:tcW w:w="8647" w:type="dxa"/>
            <w:shd w:val="clear" w:color="auto" w:fill="auto"/>
          </w:tcPr>
          <w:p w14:paraId="37A36814" w14:textId="77777777" w:rsidR="00D577FA" w:rsidRDefault="003947BC" w:rsidP="0029316D">
            <w:r>
              <w:t>…</w:t>
            </w:r>
          </w:p>
        </w:tc>
      </w:tr>
    </w:tbl>
    <w:p w14:paraId="34D85D96" w14:textId="77777777" w:rsidR="0039571D" w:rsidRPr="00D16D8D" w:rsidRDefault="00633A52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Jekk jogħġbok imla t-tabella ta’ hawn taħt bid-dettalji tal-għajnuna nnotifikata (li se tkun) mogħtija għall-proġett ta’ investiment b’referenza għat-tip ta’ għajnuna applikabbli:</w:t>
      </w:r>
    </w:p>
    <w:tbl>
      <w:tblPr>
        <w:tblW w:w="8678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4"/>
        <w:gridCol w:w="1078"/>
        <w:gridCol w:w="1021"/>
        <w:gridCol w:w="1021"/>
        <w:gridCol w:w="1021"/>
        <w:gridCol w:w="1021"/>
        <w:gridCol w:w="1021"/>
        <w:gridCol w:w="1021"/>
      </w:tblGrid>
      <w:tr w:rsidR="0039571D" w:rsidRPr="0039571D" w14:paraId="3FD861DB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8B0CB2" w14:textId="77777777" w:rsidR="0039571D" w:rsidRPr="0039571D" w:rsidRDefault="0039571D" w:rsidP="0039571D"/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2F443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Nominali/skontati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1181E2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N-0°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B0A93E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N+1°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9B02C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N+2°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C8838A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N+3°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6B3333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N+X°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8253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Total°</w:t>
            </w:r>
          </w:p>
        </w:tc>
      </w:tr>
      <w:tr w:rsidR="0039571D" w14:paraId="51393C28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6B2EF535" w14:textId="37CB1E2D" w:rsidR="0039571D" w:rsidRPr="00772CF3" w:rsidRDefault="0039571D" w:rsidP="00395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Għotja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81EC9E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5F0E57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5E823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759F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6304A3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B5CBFE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F7C8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5BADE402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C5B7B4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2540D2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347642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A97DC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4AC67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C52D2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F1ED6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2C405C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38AD1125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391111B8" w14:textId="06517C64" w:rsidR="0039571D" w:rsidRPr="00772CF3" w:rsidRDefault="004E1D8F" w:rsidP="0039571D">
            <w:pPr>
              <w:rPr>
                <w:sz w:val="20"/>
                <w:szCs w:val="20"/>
              </w:rPr>
            </w:pPr>
            <w:r>
              <w:rPr>
                <w:sz w:val="20"/>
              </w:rPr>
              <w:t>Self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E19662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5325F1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33717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C52B19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132B5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724022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13338A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7F2DB5FC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779460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842236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212459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7C1CAE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6541D1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9A931D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0AB579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0B934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45955B23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7AB8A4C" w14:textId="01A67D7C" w:rsidR="0039571D" w:rsidRPr="00772CF3" w:rsidRDefault="0039571D" w:rsidP="0039571D">
            <w:pPr>
              <w:rPr>
                <w:sz w:val="20"/>
                <w:szCs w:val="20"/>
              </w:rPr>
            </w:pPr>
            <w:r>
              <w:rPr>
                <w:sz w:val="20"/>
              </w:rPr>
              <w:t>Garanzija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E541EE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F036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D26C4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8F80F4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530934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94CD55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960DA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5D23EC0A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D62768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B28484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29D9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B4510B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95ECC3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A8BF8B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C91502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37BB95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</w:tbl>
    <w:p w14:paraId="46231C37" w14:textId="77777777" w:rsidR="0010307A" w:rsidRDefault="0010307A">
      <w:r>
        <w:br w:type="page"/>
      </w:r>
    </w:p>
    <w:tbl>
      <w:tblPr>
        <w:tblW w:w="8678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4"/>
        <w:gridCol w:w="1078"/>
        <w:gridCol w:w="1021"/>
        <w:gridCol w:w="1021"/>
        <w:gridCol w:w="1021"/>
        <w:gridCol w:w="1021"/>
        <w:gridCol w:w="1021"/>
        <w:gridCol w:w="1021"/>
      </w:tblGrid>
      <w:tr w:rsidR="0039571D" w14:paraId="6605116E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4BFE48FD" w14:textId="7F1DCC36" w:rsidR="0039571D" w:rsidRPr="00772CF3" w:rsidRDefault="0039571D" w:rsidP="0039571D">
            <w:pPr>
              <w:rPr>
                <w:sz w:val="20"/>
                <w:szCs w:val="20"/>
              </w:rPr>
            </w:pPr>
            <w:r>
              <w:rPr>
                <w:sz w:val="20"/>
              </w:rPr>
              <w:t>Benefiċċju fuq it-taxxa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42F809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26137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83CD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2F75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67D2BF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0CB2D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34D61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40A804D3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7A9F32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A3321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C85D79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68E52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ED5CD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DCF69B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ED900B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BDA07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274AF472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08CDFB08" w14:textId="77777777" w:rsidR="0039571D" w:rsidRPr="00772CF3" w:rsidRDefault="0039571D" w:rsidP="0039571D">
            <w:pPr>
              <w:rPr>
                <w:sz w:val="20"/>
                <w:szCs w:val="20"/>
              </w:rPr>
            </w:pPr>
            <w:r>
              <w:rPr>
                <w:sz w:val="20"/>
              </w:rPr>
              <w:t>….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24165B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7A809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A4116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3C492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CF218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451E83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B080D2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23A2916A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909282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513795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E0501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A2CD59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AC803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BFE555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CDCF37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3229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:rsidRPr="00772CF3" w14:paraId="7C74309A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EB14D7A" w14:textId="77777777" w:rsidR="0039571D" w:rsidRPr="00772CF3" w:rsidRDefault="0039571D" w:rsidP="0039571D">
            <w:pPr>
              <w:rPr>
                <w:sz w:val="20"/>
                <w:szCs w:val="20"/>
              </w:rPr>
            </w:pPr>
            <w:r>
              <w:rPr>
                <w:sz w:val="20"/>
              </w:rPr>
              <w:t>….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F5FD1C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FC196E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6846EA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752A1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DC9F34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D4687B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B9015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:rsidRPr="00772CF3" w14:paraId="63787349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797C49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A1A535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BADEF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5C6ED5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14C661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0B71BF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1785A1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6E31C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:rsidRPr="00772CF3" w14:paraId="7ADB5D31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EEBA91D" w14:textId="77777777" w:rsidR="0039571D" w:rsidRPr="00772CF3" w:rsidRDefault="0039571D" w:rsidP="0039571D">
            <w:pPr>
              <w:rPr>
                <w:sz w:val="20"/>
                <w:szCs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C37F19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Nominali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EFB973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AA42AD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CCAEC7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59F085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6CEB31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879E93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</w:tr>
      <w:tr w:rsidR="0039571D" w:rsidRPr="00772CF3" w14:paraId="445975F8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93214D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717498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Skontati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92BB17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205353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295545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B901CD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86D5C3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36DD5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</w:tr>
    </w:tbl>
    <w:p w14:paraId="370F9305" w14:textId="77777777" w:rsidR="00C46715" w:rsidRPr="00C359A9" w:rsidRDefault="0039571D" w:rsidP="00C359A9">
      <w:pPr>
        <w:pStyle w:val="NormalKop111"/>
        <w:spacing w:before="0"/>
        <w:rPr>
          <w:i/>
          <w:sz w:val="20"/>
          <w:szCs w:val="20"/>
        </w:rPr>
      </w:pPr>
      <w:r>
        <w:rPr>
          <w:i/>
          <w:sz w:val="20"/>
        </w:rPr>
        <w:t>° F’munita nazzjonali</w:t>
      </w:r>
    </w:p>
    <w:p w14:paraId="6B87FE2E" w14:textId="77777777" w:rsidR="00012D1C" w:rsidRPr="00957D0D" w:rsidRDefault="00012D1C" w:rsidP="00012D1C">
      <w:pPr>
        <w:pStyle w:val="NormalKop111"/>
        <w:rPr>
          <w:rFonts w:cs="EUAlbertina"/>
          <w:color w:val="000000"/>
        </w:rPr>
      </w:pPr>
      <w:r>
        <w:rPr>
          <w:color w:val="000000"/>
        </w:rPr>
        <w:t>Jekk jogħġbok indika d-data li fiha ġew skontati l-ammonti, kif ukoll ir-rata ta’ skont użata:</w:t>
      </w:r>
    </w:p>
    <w:tbl>
      <w:tblPr>
        <w:tblW w:w="8647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47"/>
      </w:tblGrid>
      <w:tr w:rsidR="00012D1C" w14:paraId="3A5D7277" w14:textId="77777777" w:rsidTr="0029316D">
        <w:tc>
          <w:tcPr>
            <w:tcW w:w="8647" w:type="dxa"/>
            <w:shd w:val="clear" w:color="auto" w:fill="auto"/>
          </w:tcPr>
          <w:p w14:paraId="5B2F22F8" w14:textId="77777777" w:rsidR="00012D1C" w:rsidRDefault="003947BC" w:rsidP="0029316D">
            <w:r>
              <w:t>…</w:t>
            </w:r>
          </w:p>
        </w:tc>
      </w:tr>
    </w:tbl>
    <w:p w14:paraId="2DFD0810" w14:textId="77777777" w:rsidR="00012D1C" w:rsidRPr="0039571D" w:rsidRDefault="00012D1C" w:rsidP="0039571D">
      <w:pPr>
        <w:pStyle w:val="Normal127Bullet63"/>
        <w:numPr>
          <w:ilvl w:val="0"/>
          <w:numId w:val="0"/>
        </w:numPr>
        <w:ind w:left="1077" w:hanging="357"/>
        <w:rPr>
          <w:sz w:val="20"/>
          <w:szCs w:val="20"/>
        </w:rPr>
      </w:pPr>
    </w:p>
    <w:p w14:paraId="5F2B1691" w14:textId="77777777" w:rsidR="003A2F0C" w:rsidRDefault="003A2F0C" w:rsidP="00033078">
      <w:pPr>
        <w:pStyle w:val="Normal127"/>
        <w:spacing w:before="120"/>
      </w:pPr>
      <w:r>
        <w:t>Għal kull tip ta’ għajnuna msemmija fit-tabella hawn fuq, jekk jogħġbok indika kif l-ekwivalenti tal-għotja huwa kkalkolat: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3A2F0C" w14:paraId="7BAD0BA1" w14:textId="77777777" w:rsidTr="00772CF3">
        <w:tc>
          <w:tcPr>
            <w:tcW w:w="8391" w:type="dxa"/>
            <w:shd w:val="clear" w:color="auto" w:fill="auto"/>
          </w:tcPr>
          <w:p w14:paraId="130DA0D4" w14:textId="77777777" w:rsidR="003A2F0C" w:rsidRDefault="003A2F0C" w:rsidP="00772CF3">
            <w:r>
              <w:rPr>
                <w:u w:val="single"/>
              </w:rPr>
              <w:t>Self b’kundizzjonijiet favorevoli</w:t>
            </w:r>
            <w:r>
              <w:t>:</w:t>
            </w:r>
          </w:p>
          <w:p w14:paraId="0CDFAAED" w14:textId="77777777" w:rsidR="003A2F0C" w:rsidRDefault="003A2F0C" w:rsidP="00772CF3">
            <w:r>
              <w:t>…</w:t>
            </w:r>
          </w:p>
        </w:tc>
      </w:tr>
    </w:tbl>
    <w:p w14:paraId="38A40EE8" w14:textId="77777777" w:rsidR="003A2F0C" w:rsidRPr="009830AE" w:rsidRDefault="003A2F0C" w:rsidP="003A2F0C"/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3A2F0C" w14:paraId="20875E88" w14:textId="77777777" w:rsidTr="00772CF3">
        <w:tc>
          <w:tcPr>
            <w:tcW w:w="8391" w:type="dxa"/>
            <w:shd w:val="clear" w:color="auto" w:fill="auto"/>
          </w:tcPr>
          <w:p w14:paraId="08DCB805" w14:textId="77777777" w:rsidR="003A2F0C" w:rsidRDefault="003A2F0C" w:rsidP="00772CF3">
            <w:r>
              <w:rPr>
                <w:u w:val="single"/>
              </w:rPr>
              <w:t>Garanzija</w:t>
            </w:r>
            <w:r>
              <w:t>:</w:t>
            </w:r>
          </w:p>
          <w:p w14:paraId="168C5436" w14:textId="77777777" w:rsidR="003A2F0C" w:rsidRDefault="003A2F0C" w:rsidP="00772CF3">
            <w:r>
              <w:t>…</w:t>
            </w:r>
          </w:p>
        </w:tc>
      </w:tr>
    </w:tbl>
    <w:p w14:paraId="044242C1" w14:textId="77777777" w:rsidR="003A2F0C" w:rsidRPr="009830AE" w:rsidRDefault="003A2F0C" w:rsidP="003A2F0C"/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3A2F0C" w14:paraId="240BD775" w14:textId="77777777" w:rsidTr="00772CF3">
        <w:tc>
          <w:tcPr>
            <w:tcW w:w="8391" w:type="dxa"/>
            <w:shd w:val="clear" w:color="auto" w:fill="auto"/>
          </w:tcPr>
          <w:p w14:paraId="7D079431" w14:textId="77777777" w:rsidR="003A2F0C" w:rsidRDefault="003A2F0C" w:rsidP="00772CF3">
            <w:r>
              <w:rPr>
                <w:u w:val="single"/>
              </w:rPr>
              <w:t>Tnaqqis fit-taxxa</w:t>
            </w:r>
            <w:r>
              <w:t>:</w:t>
            </w:r>
          </w:p>
          <w:p w14:paraId="26CD10D7" w14:textId="77777777" w:rsidR="003A2F0C" w:rsidRDefault="003A2F0C" w:rsidP="00772CF3">
            <w:r>
              <w:t>…</w:t>
            </w:r>
          </w:p>
        </w:tc>
      </w:tr>
    </w:tbl>
    <w:p w14:paraId="755564B0" w14:textId="77777777" w:rsidR="003A2F0C" w:rsidRPr="009830AE" w:rsidRDefault="003A2F0C" w:rsidP="003A2F0C"/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3A2F0C" w14:paraId="1D3D3B7B" w14:textId="77777777" w:rsidTr="00772CF3">
        <w:tc>
          <w:tcPr>
            <w:tcW w:w="8391" w:type="dxa"/>
            <w:shd w:val="clear" w:color="auto" w:fill="auto"/>
          </w:tcPr>
          <w:p w14:paraId="6804B530" w14:textId="77777777" w:rsidR="00142F96" w:rsidRDefault="00142F96" w:rsidP="00142F96">
            <w:pPr>
              <w:rPr>
                <w:u w:val="single"/>
              </w:rPr>
            </w:pPr>
            <w:r>
              <w:rPr>
                <w:u w:val="single"/>
              </w:rPr>
              <w:t>Oħrajn:</w:t>
            </w:r>
          </w:p>
          <w:p w14:paraId="17A7D904" w14:textId="77777777" w:rsidR="003A2F0C" w:rsidRPr="00E35956" w:rsidRDefault="003A2F0C" w:rsidP="00142F96">
            <w:r>
              <w:t>….</w:t>
            </w:r>
          </w:p>
        </w:tc>
      </w:tr>
    </w:tbl>
    <w:p w14:paraId="511FAD08" w14:textId="77777777" w:rsidR="003A2F0C" w:rsidRPr="00142F96" w:rsidRDefault="003A2F0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rFonts w:cs="Times New Roman"/>
          <w:color w:val="000000"/>
        </w:rPr>
      </w:pPr>
      <w:r>
        <w:rPr>
          <w:color w:val="000000"/>
        </w:rPr>
        <w:t>Jekk kwalunkwe miżura ta’ għajnuna li għandha tingħata għall-proġett għadha ma hijiex definita, jekk jogħġbok indika dan, u spjega kif l-awtorità tal-għoti se tiżgura li l-intensità massima ta’ għajnuna applikabbli hija rispettata (il-paragrafu 93 u 94 tal-RAG):</w:t>
      </w:r>
    </w:p>
    <w:tbl>
      <w:tblPr>
        <w:tblW w:w="8647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47"/>
      </w:tblGrid>
      <w:tr w:rsidR="003947BC" w14:paraId="2EB1AA65" w14:textId="77777777" w:rsidTr="00097D0F">
        <w:tc>
          <w:tcPr>
            <w:tcW w:w="8647" w:type="dxa"/>
            <w:shd w:val="clear" w:color="auto" w:fill="auto"/>
          </w:tcPr>
          <w:p w14:paraId="473DF375" w14:textId="77777777" w:rsidR="003947BC" w:rsidRDefault="003947BC" w:rsidP="00097D0F">
            <w:r>
              <w:t>…</w:t>
            </w:r>
          </w:p>
        </w:tc>
      </w:tr>
    </w:tbl>
    <w:p w14:paraId="70E2A4D4" w14:textId="77777777" w:rsidR="00A32829" w:rsidRPr="002C4368" w:rsidRDefault="00A32829" w:rsidP="00033078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spacing w:before="0"/>
        <w:ind w:left="1418" w:hanging="709"/>
        <w:rPr>
          <w:rFonts w:cs="Times New Roman"/>
          <w:color w:val="000000"/>
        </w:rPr>
      </w:pPr>
      <w:r>
        <w:rPr>
          <w:color w:val="000000"/>
        </w:rPr>
        <w:t>Il-proġett huwa kofinanzjat minn xi wieħed mill-Fondi tal-UE implimentati taħt ġestjoni kondiviża (il-“Fondi”)? Jekk iva, jekk jogħġbok spjega taħt liema programm se jinkiseb dan il-finanzjament. Jekk jogħġbok indika wkoll l-ammont ta’ finanzjament mill-Fondi li se jkun involut.</w:t>
      </w:r>
    </w:p>
    <w:tbl>
      <w:tblPr>
        <w:tblW w:w="8428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28"/>
      </w:tblGrid>
      <w:tr w:rsidR="007F7DF2" w14:paraId="6DA6AD3B" w14:textId="77777777" w:rsidTr="003947BC">
        <w:trPr>
          <w:trHeight w:val="280"/>
        </w:trPr>
        <w:tc>
          <w:tcPr>
            <w:tcW w:w="8428" w:type="dxa"/>
            <w:shd w:val="clear" w:color="auto" w:fill="auto"/>
          </w:tcPr>
          <w:p w14:paraId="41DA4570" w14:textId="77777777" w:rsidR="007F7DF2" w:rsidRDefault="003947BC" w:rsidP="00F567F1">
            <w:r>
              <w:t>…</w:t>
            </w:r>
          </w:p>
        </w:tc>
      </w:tr>
    </w:tbl>
    <w:p w14:paraId="2E509E94" w14:textId="35302330" w:rsidR="007F7DF2" w:rsidRDefault="007F7DF2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Jekk il-benefiċjarju (fil-livell ta’ grupp) irċieva għajnuna għal investiment(i) inizjali wieħed (jew aktar) relatat(i) mal-istess attività jew waħda simili li bdiet fl-istess reġjun NUTS 3 tul perjodu ta’ 3 snin qabel id-data tal-bidu tax-xogħlijiet tal-proġett ta’ investiment notifikat (il-paragrafu 19(27) tal-RAG), ipprovdi dettalji tal-miżuri ta’ għajnuna għal kull wieħed mill-investimenti inizjali megħjuna preċedentement (billi tinkludi deskrizzjoni qasira tal-proġett ta’ investiment, id-data tal-applikazzjoni għall-għajnuna, id-data tal-għoti ta’ </w:t>
      </w:r>
      <w:r>
        <w:rPr>
          <w:color w:val="000000"/>
        </w:rPr>
        <w:lastRenderedPageBreak/>
        <w:t>għajnuna, id-data tal-bidu tax-xogħlijiet, l-ammont(i) ta’ għajnuna u l-kostijiet eliġibbli</w:t>
      </w:r>
      <w:r>
        <w:rPr>
          <w:rStyle w:val="FootnoteReference"/>
          <w:color w:val="000000"/>
        </w:rPr>
        <w:footnoteReference w:id="11"/>
      </w:r>
      <w:r>
        <w:rPr>
          <w:color w:val="000000"/>
        </w:rPr>
        <w:t>).</w:t>
      </w:r>
    </w:p>
    <w:p w14:paraId="65E06E34" w14:textId="77777777" w:rsidR="003947BC" w:rsidRPr="00D16D8D" w:rsidRDefault="003947BC" w:rsidP="003947BC">
      <w:pPr>
        <w:pStyle w:val="NormalKop111"/>
        <w:tabs>
          <w:tab w:val="clear" w:pos="720"/>
          <w:tab w:val="clear" w:pos="1440"/>
          <w:tab w:val="clear" w:pos="1797"/>
        </w:tabs>
        <w:rPr>
          <w:color w:val="000000"/>
        </w:rPr>
      </w:pP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794"/>
        <w:gridCol w:w="794"/>
        <w:gridCol w:w="794"/>
        <w:gridCol w:w="794"/>
        <w:gridCol w:w="794"/>
        <w:gridCol w:w="2267"/>
        <w:gridCol w:w="1275"/>
      </w:tblGrid>
      <w:tr w:rsidR="00FE7795" w14:paraId="34A40551" w14:textId="77777777" w:rsidTr="009C5F4C">
        <w:tc>
          <w:tcPr>
            <w:tcW w:w="851" w:type="dxa"/>
            <w:shd w:val="clear" w:color="auto" w:fill="auto"/>
          </w:tcPr>
          <w:p w14:paraId="6DF0A3F1" w14:textId="77777777" w:rsidR="00FE7795" w:rsidRPr="00633A52" w:rsidRDefault="00FE7795" w:rsidP="00F567F1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43CE59B3" w14:textId="77777777" w:rsidR="00FE7795" w:rsidRPr="00633A52" w:rsidRDefault="00FE7795" w:rsidP="009C5F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Kost ta’ investiment eliġibbli</w:t>
            </w:r>
          </w:p>
        </w:tc>
        <w:tc>
          <w:tcPr>
            <w:tcW w:w="794" w:type="dxa"/>
          </w:tcPr>
          <w:p w14:paraId="5E53F953" w14:textId="77777777" w:rsidR="00FE7795" w:rsidRPr="00633A52" w:rsidRDefault="00FE7795" w:rsidP="009C5F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Ammont tal-għajnuna mogħtija</w:t>
            </w:r>
          </w:p>
        </w:tc>
        <w:tc>
          <w:tcPr>
            <w:tcW w:w="794" w:type="dxa"/>
          </w:tcPr>
          <w:p w14:paraId="5690C210" w14:textId="77777777" w:rsidR="00FE7795" w:rsidRPr="00633A52" w:rsidRDefault="00FE7795" w:rsidP="009C5F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Data tal-applikazzjoni</w:t>
            </w:r>
          </w:p>
        </w:tc>
        <w:tc>
          <w:tcPr>
            <w:tcW w:w="794" w:type="dxa"/>
          </w:tcPr>
          <w:p w14:paraId="0A71C2A6" w14:textId="77777777" w:rsidR="00FE7795" w:rsidRPr="00633A52" w:rsidRDefault="00FE7795" w:rsidP="009C5F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Data tal-għotja ta’ għajnuna</w:t>
            </w:r>
          </w:p>
        </w:tc>
        <w:tc>
          <w:tcPr>
            <w:tcW w:w="794" w:type="dxa"/>
          </w:tcPr>
          <w:p w14:paraId="4944FDD2" w14:textId="77777777" w:rsidR="00FE7795" w:rsidRPr="00633A52" w:rsidRDefault="00FE7795" w:rsidP="009C5F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Data tal-bidu tax-xogħol</w:t>
            </w:r>
          </w:p>
        </w:tc>
        <w:tc>
          <w:tcPr>
            <w:tcW w:w="2267" w:type="dxa"/>
          </w:tcPr>
          <w:p w14:paraId="76CA3EDF" w14:textId="77777777" w:rsidR="00FE7795" w:rsidRPr="00633A52" w:rsidRDefault="00FE7795" w:rsidP="00FE779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Deskrizzjoni qasira</w:t>
            </w:r>
          </w:p>
        </w:tc>
        <w:tc>
          <w:tcPr>
            <w:tcW w:w="1275" w:type="dxa"/>
          </w:tcPr>
          <w:p w14:paraId="47DAEC32" w14:textId="77777777" w:rsidR="00FE7795" w:rsidRDefault="00FE7795" w:rsidP="00FE779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Referenza/i tal-għajnuna</w:t>
            </w:r>
          </w:p>
        </w:tc>
      </w:tr>
      <w:tr w:rsidR="00FE7795" w14:paraId="6F9F240E" w14:textId="77777777" w:rsidTr="009C5F4C">
        <w:tc>
          <w:tcPr>
            <w:tcW w:w="851" w:type="dxa"/>
            <w:shd w:val="clear" w:color="auto" w:fill="auto"/>
          </w:tcPr>
          <w:p w14:paraId="136CD563" w14:textId="77777777" w:rsidR="00FE7795" w:rsidRPr="00633A52" w:rsidRDefault="00FE7795" w:rsidP="00F567F1">
            <w:pPr>
              <w:rPr>
                <w:sz w:val="20"/>
                <w:szCs w:val="20"/>
              </w:rPr>
            </w:pPr>
            <w:r>
              <w:rPr>
                <w:sz w:val="20"/>
              </w:rPr>
              <w:t>Proġett ta’ investiment inizjali 1</w:t>
            </w:r>
          </w:p>
        </w:tc>
        <w:tc>
          <w:tcPr>
            <w:tcW w:w="794" w:type="dxa"/>
          </w:tcPr>
          <w:p w14:paraId="5142EC17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0F67FFE1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23D02631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0355FC46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14BBAE13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7" w:type="dxa"/>
          </w:tcPr>
          <w:p w14:paraId="7F11BB8E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65540AD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</w:tr>
      <w:tr w:rsidR="00FE7795" w14:paraId="16FD8CD3" w14:textId="77777777" w:rsidTr="009C5F4C">
        <w:tc>
          <w:tcPr>
            <w:tcW w:w="851" w:type="dxa"/>
            <w:shd w:val="clear" w:color="auto" w:fill="auto"/>
          </w:tcPr>
          <w:p w14:paraId="47372CEA" w14:textId="77777777" w:rsidR="00FE7795" w:rsidRPr="00633A52" w:rsidRDefault="00FE7795" w:rsidP="00F567F1">
            <w:pPr>
              <w:rPr>
                <w:sz w:val="20"/>
                <w:szCs w:val="20"/>
              </w:rPr>
            </w:pPr>
            <w:r>
              <w:rPr>
                <w:sz w:val="20"/>
              </w:rPr>
              <w:t>Investiment inizjali. Proġett 2</w:t>
            </w:r>
          </w:p>
        </w:tc>
        <w:tc>
          <w:tcPr>
            <w:tcW w:w="794" w:type="dxa"/>
          </w:tcPr>
          <w:p w14:paraId="2AC2E25A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11726C44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6DB030CF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1B4D79AD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06419AB9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7" w:type="dxa"/>
          </w:tcPr>
          <w:p w14:paraId="1DD95984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64BDA2C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</w:tr>
      <w:tr w:rsidR="00FE7795" w14:paraId="63F764C0" w14:textId="77777777" w:rsidTr="009C5F4C">
        <w:tc>
          <w:tcPr>
            <w:tcW w:w="851" w:type="dxa"/>
            <w:shd w:val="clear" w:color="auto" w:fill="auto"/>
          </w:tcPr>
          <w:p w14:paraId="18102F08" w14:textId="77777777" w:rsidR="00FE7795" w:rsidRPr="00633A52" w:rsidRDefault="00FE7795" w:rsidP="00F567F1">
            <w:pPr>
              <w:rPr>
                <w:sz w:val="20"/>
                <w:szCs w:val="20"/>
              </w:rPr>
            </w:pPr>
            <w:r>
              <w:rPr>
                <w:sz w:val="20"/>
              </w:rPr>
              <w:t>Proġett ta’ investiment inizjali 3</w:t>
            </w:r>
          </w:p>
        </w:tc>
        <w:tc>
          <w:tcPr>
            <w:tcW w:w="794" w:type="dxa"/>
          </w:tcPr>
          <w:p w14:paraId="3FE8F81C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67831878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2B4EACAE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04435712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2670086F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7" w:type="dxa"/>
          </w:tcPr>
          <w:p w14:paraId="33005B53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FBC4031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</w:tr>
      <w:tr w:rsidR="00FE7795" w14:paraId="1CDFC60C" w14:textId="77777777" w:rsidTr="009C5F4C">
        <w:tc>
          <w:tcPr>
            <w:tcW w:w="851" w:type="dxa"/>
            <w:shd w:val="clear" w:color="auto" w:fill="auto"/>
          </w:tcPr>
          <w:p w14:paraId="24E1087F" w14:textId="77777777" w:rsidR="00FE7795" w:rsidRDefault="00FE7795" w:rsidP="00F567F1">
            <w:pPr>
              <w:rPr>
                <w:sz w:val="20"/>
                <w:szCs w:val="20"/>
              </w:rPr>
            </w:pPr>
            <w:r>
              <w:rPr>
                <w:sz w:val="20"/>
              </w:rPr>
              <w:t>…</w:t>
            </w:r>
          </w:p>
          <w:p w14:paraId="680FB571" w14:textId="77777777" w:rsidR="00FE7795" w:rsidRPr="00633A52" w:rsidRDefault="00FE7795" w:rsidP="00F567F1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3DB0B0EE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3E805E1F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5DA7A5EC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039546B3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10C5ED17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7" w:type="dxa"/>
          </w:tcPr>
          <w:p w14:paraId="14253757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2C8CFFB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</w:tr>
    </w:tbl>
    <w:p w14:paraId="4FBD898F" w14:textId="77777777" w:rsidR="00DD4A8C" w:rsidRPr="00C359A9" w:rsidRDefault="00DD4A8C" w:rsidP="00DD4A8C">
      <w:pPr>
        <w:pStyle w:val="Normal127Bullet63"/>
        <w:numPr>
          <w:ilvl w:val="0"/>
          <w:numId w:val="0"/>
        </w:numPr>
        <w:ind w:left="1077" w:hanging="357"/>
        <w:rPr>
          <w:i/>
          <w:sz w:val="20"/>
          <w:szCs w:val="20"/>
        </w:rPr>
      </w:pPr>
      <w:r>
        <w:rPr>
          <w:i/>
          <w:sz w:val="20"/>
        </w:rPr>
        <w:t xml:space="preserve">° F’munita nazzjonali </w:t>
      </w:r>
    </w:p>
    <w:p w14:paraId="35530C90" w14:textId="4F5170B4" w:rsidR="00840FC2" w:rsidRPr="00D16D8D" w:rsidRDefault="00DD4A8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Ikkonferma li l-ammont totali tal-għajnuna li se jingħata lill-proġett ta’ investiment inizjali ma jeċċedix l-“intensità massima tal-għajnuna” (kif definita fil-paragrafu 19(19) tal-RAG), billi jittieħed kont tal-intensità tal-għajnuna miżjuda għal </w:t>
      </w:r>
      <w:proofErr w:type="spellStart"/>
      <w:r>
        <w:rPr>
          <w:color w:val="000000"/>
        </w:rPr>
        <w:t>SMEs</w:t>
      </w:r>
      <w:proofErr w:type="spellEnd"/>
      <w:r>
        <w:rPr>
          <w:color w:val="000000"/>
        </w:rPr>
        <w:t xml:space="preserve"> (kif determinat fil-paragrafu 186 tal-RAG) u l-“ammont aġġustat tal-għajnuna” (kif definit fil-paragrafu 19(3) tal-RAG), fejn applikabbli. Jekk jogħġbok ipprovdi d-dokumentazzjoni u l-kalkoli rilevanti sabiex tappoġġa din il-konferma.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840FC2" w14:paraId="365D7BCE" w14:textId="77777777" w:rsidTr="00F567F1">
        <w:tc>
          <w:tcPr>
            <w:tcW w:w="8391" w:type="dxa"/>
            <w:shd w:val="clear" w:color="auto" w:fill="auto"/>
          </w:tcPr>
          <w:p w14:paraId="4E15D371" w14:textId="77777777" w:rsidR="00840FC2" w:rsidRDefault="003947BC" w:rsidP="00F567F1">
            <w:r>
              <w:t>…</w:t>
            </w:r>
          </w:p>
        </w:tc>
      </w:tr>
    </w:tbl>
    <w:p w14:paraId="3B635AF0" w14:textId="12C2ADC0" w:rsidR="00195366" w:rsidRPr="00195366" w:rsidRDefault="00195366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t xml:space="preserve">Ikkonferma li la l-ammont massimu tal-għajnuna approvat f’valur skontat, u lanqas l-intensità tal-għajnuna approvata ma jinqabżu jekk l-ammont tal-kostijiet eliġibbli jiddevja mill-ammont notifikat. </w:t>
      </w:r>
    </w:p>
    <w:p w14:paraId="6DA47F81" w14:textId="77777777" w:rsidR="00195366" w:rsidRDefault="00195366" w:rsidP="00C359A9">
      <w:pPr>
        <w:pStyle w:val="Normal127"/>
        <w:tabs>
          <w:tab w:val="clear" w:pos="720"/>
          <w:tab w:val="clear" w:pos="1440"/>
          <w:tab w:val="clear" w:pos="1797"/>
          <w:tab w:val="left" w:pos="2410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ab/>
        <w:t>Iva</w:t>
      </w:r>
    </w:p>
    <w:p w14:paraId="5ABC5B4B" w14:textId="77777777" w:rsidR="00840FC2" w:rsidRPr="00D16D8D" w:rsidRDefault="007E6728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Meta l-għajnuna li għandha tingħata għall-proġett ta’ investiment tkun se tingħata taħt diversi skemi ta’ għajnuna reġjonali jew akkumulata ma’ għajnuna </w:t>
      </w:r>
      <w:proofErr w:type="spellStart"/>
      <w:r>
        <w:rPr>
          <w:i/>
          <w:color w:val="000000"/>
        </w:rPr>
        <w:t>ad</w:t>
      </w:r>
      <w:proofErr w:type="spellEnd"/>
      <w:r>
        <w:rPr>
          <w:i/>
          <w:color w:val="000000"/>
        </w:rPr>
        <w:t> </w:t>
      </w:r>
      <w:proofErr w:type="spellStart"/>
      <w:r>
        <w:rPr>
          <w:i/>
          <w:color w:val="000000"/>
        </w:rPr>
        <w:t>hoc</w:t>
      </w:r>
      <w:proofErr w:type="spellEnd"/>
      <w:r>
        <w:rPr>
          <w:color w:val="000000"/>
        </w:rPr>
        <w:t>, jekk jogħġbok ikkonferma li l-intensità tal-għajnuna massima permissibbli li tista’ tingħata lill-proġett ġiet ikkalkolata bil-quddiem mill-ewwel awtorità tal-għoti u speċifika din l-intensità massima tal-għajnuna. Jekk jogħġbok spjega kif l-awtoritajiet tal-għoti se jiżguraw li dik l-intensità massima tal-għajnuna se tiġi rispettata (il-paragrafu 99 tal-RAG).</w:t>
      </w:r>
    </w:p>
    <w:p w14:paraId="07072796" w14:textId="77777777" w:rsidR="007E6728" w:rsidRDefault="00700602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lastRenderedPageBreak/>
        <w:t xml:space="preserve">Jekk l-investiment inizjali huwa marbut ma’ proġett ta’ Kooperazzjoni Territorjali Ewropea (KTE), jekk jogħġbok spjega b’referenza għad-dispożizzjonijiet stabbiliti fil-paragrafu 100 tal-RAG, kif tiġi stabbilita l-intensità massima tal-għajnuna applikabbli għall-proġett u l-benefiċjarji differenti involuti.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3947BC" w14:paraId="1779F7F7" w14:textId="77777777" w:rsidTr="00097D0F">
        <w:tc>
          <w:tcPr>
            <w:tcW w:w="8391" w:type="dxa"/>
            <w:shd w:val="clear" w:color="auto" w:fill="auto"/>
          </w:tcPr>
          <w:p w14:paraId="38866914" w14:textId="77777777" w:rsidR="003947BC" w:rsidRDefault="003947BC" w:rsidP="00097D0F">
            <w:r>
              <w:t>…</w:t>
            </w:r>
          </w:p>
        </w:tc>
      </w:tr>
    </w:tbl>
    <w:p w14:paraId="3D2A6E16" w14:textId="77777777" w:rsidR="003947BC" w:rsidRDefault="003947BC" w:rsidP="003947BC">
      <w:pPr>
        <w:pStyle w:val="NormalKop111"/>
        <w:tabs>
          <w:tab w:val="clear" w:pos="720"/>
          <w:tab w:val="clear" w:pos="1440"/>
          <w:tab w:val="clear" w:pos="1797"/>
        </w:tabs>
        <w:rPr>
          <w:color w:val="000000"/>
        </w:rPr>
      </w:pPr>
    </w:p>
    <w:p w14:paraId="1FCE140A" w14:textId="77777777" w:rsidR="003947BC" w:rsidRPr="00D16D8D" w:rsidRDefault="003947BC" w:rsidP="003947BC">
      <w:pPr>
        <w:pStyle w:val="NormalKop111"/>
        <w:tabs>
          <w:tab w:val="clear" w:pos="720"/>
          <w:tab w:val="clear" w:pos="1440"/>
          <w:tab w:val="clear" w:pos="1797"/>
        </w:tabs>
        <w:ind w:left="36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39"/>
      </w:tblGrid>
      <w:tr w:rsidR="00141E9F" w:rsidRPr="009830AE" w14:paraId="1984A37C" w14:textId="77777777" w:rsidTr="003947BC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3FE39980" w14:textId="77777777" w:rsidR="00141E9F" w:rsidRPr="009830AE" w:rsidRDefault="00141E9F" w:rsidP="00093A59">
            <w:pPr>
              <w:pStyle w:val="Heading1"/>
              <w:numPr>
                <w:ilvl w:val="0"/>
                <w:numId w:val="2"/>
              </w:numPr>
              <w:ind w:left="482" w:hanging="482"/>
              <w:rPr>
                <w:color w:val="000000"/>
              </w:rPr>
            </w:pPr>
            <w:r>
              <w:rPr>
                <w:color w:val="000000"/>
              </w:rPr>
              <w:t>Valutazzjoni tal-kompatibbiltà tal-miżura</w:t>
            </w:r>
          </w:p>
        </w:tc>
      </w:tr>
    </w:tbl>
    <w:p w14:paraId="108099AD" w14:textId="77777777" w:rsidR="00141E9F" w:rsidRPr="008221B1" w:rsidRDefault="00141E9F" w:rsidP="00093A59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 xml:space="preserve">Kontribut għall-iżvilupp reġjonali, effetti pożittivi u l-ħtieġa għal intervent mill-Istat </w:t>
      </w:r>
    </w:p>
    <w:p w14:paraId="30943C38" w14:textId="77777777" w:rsidR="00D91DA7" w:rsidRDefault="00141E9F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Jekk jogħġbok:</w:t>
      </w:r>
    </w:p>
    <w:p w14:paraId="41D6F6ED" w14:textId="77777777" w:rsidR="00D91DA7" w:rsidRDefault="00141E9F" w:rsidP="00AB40D1">
      <w:pPr>
        <w:pStyle w:val="NormalKop111"/>
        <w:numPr>
          <w:ilvl w:val="0"/>
          <w:numId w:val="28"/>
        </w:numPr>
        <w:tabs>
          <w:tab w:val="clear" w:pos="720"/>
          <w:tab w:val="clear" w:pos="1440"/>
          <w:tab w:val="clear" w:pos="1797"/>
        </w:tabs>
        <w:rPr>
          <w:color w:val="000000"/>
        </w:rPr>
      </w:pPr>
      <w:r>
        <w:rPr>
          <w:color w:val="000000"/>
        </w:rPr>
        <w:t>indika l-post eżatt tal-proġett megħjun (jiġifieri l-lokalità u r-reġjun NUTS 2 jew 3 li għalihom tappartjeni l-lokalità);</w:t>
      </w:r>
    </w:p>
    <w:p w14:paraId="6ECBBFFB" w14:textId="77777777" w:rsidR="00D91DA7" w:rsidRDefault="00141E9F" w:rsidP="00AB40D1">
      <w:pPr>
        <w:pStyle w:val="NormalKop111"/>
        <w:numPr>
          <w:ilvl w:val="0"/>
          <w:numId w:val="28"/>
        </w:numPr>
        <w:tabs>
          <w:tab w:val="clear" w:pos="720"/>
          <w:tab w:val="clear" w:pos="1440"/>
          <w:tab w:val="clear" w:pos="1797"/>
        </w:tabs>
        <w:rPr>
          <w:color w:val="000000"/>
        </w:rPr>
      </w:pPr>
      <w:r>
        <w:rPr>
          <w:color w:val="000000"/>
        </w:rPr>
        <w:t>ipprovdi dettalji dwar l-istatus tal-għajnuna reġjonali fil-mappa attwali tal-għajnuna reġjonali (jiġifieri jinsab f’żona eliġibbli għall-għajnuna reġjonali skont l-Artikolu 107(3)(a) jew (c)); u</w:t>
      </w:r>
    </w:p>
    <w:p w14:paraId="1990F0E1" w14:textId="77777777" w:rsidR="000432CC" w:rsidRPr="00D16D8D" w:rsidRDefault="00AB40D1" w:rsidP="00AB40D1">
      <w:pPr>
        <w:pStyle w:val="NormalKop111"/>
        <w:numPr>
          <w:ilvl w:val="0"/>
          <w:numId w:val="28"/>
        </w:numPr>
        <w:tabs>
          <w:tab w:val="clear" w:pos="720"/>
          <w:tab w:val="clear" w:pos="1440"/>
          <w:tab w:val="clear" w:pos="1797"/>
        </w:tabs>
        <w:rPr>
          <w:color w:val="000000"/>
        </w:rPr>
      </w:pPr>
      <w:r>
        <w:rPr>
          <w:color w:val="000000"/>
        </w:rPr>
        <w:t>ipprovdi l-intensità massima tal-għajnuna applikabbli għal intrapriżi kbar,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51E8A" w14:paraId="03E4523E" w14:textId="77777777" w:rsidTr="00F567F1">
        <w:tc>
          <w:tcPr>
            <w:tcW w:w="8391" w:type="dxa"/>
            <w:shd w:val="clear" w:color="auto" w:fill="auto"/>
          </w:tcPr>
          <w:p w14:paraId="6875A268" w14:textId="77777777" w:rsidR="00B51E8A" w:rsidRDefault="00B51E8A" w:rsidP="00F567F1">
            <w:r>
              <w:t>…</w:t>
            </w:r>
          </w:p>
        </w:tc>
      </w:tr>
    </w:tbl>
    <w:p w14:paraId="6933BB8F" w14:textId="77777777" w:rsidR="00323A88" w:rsidRPr="00323A88" w:rsidRDefault="00323A88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Jekk jogħġbok spjega kif l-għajnuna se tikkontribwixxi għall-iżvilupp reġjonali u, jekk applikabbli, x’effetti pożittivi oħrajn jiġu prodotti mill-għajnuna?</w:t>
      </w:r>
      <w:r>
        <w:rPr>
          <w:vertAlign w:val="superscript"/>
        </w:rPr>
        <w:footnoteReference w:id="12"/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323A88" w14:paraId="607BEB06" w14:textId="77777777" w:rsidTr="000326CF">
        <w:tc>
          <w:tcPr>
            <w:tcW w:w="8391" w:type="dxa"/>
            <w:shd w:val="clear" w:color="auto" w:fill="auto"/>
          </w:tcPr>
          <w:p w14:paraId="00AF4F25" w14:textId="77777777" w:rsidR="00323A88" w:rsidRDefault="00323A88" w:rsidP="000326CF">
            <w:r>
              <w:t>…</w:t>
            </w:r>
          </w:p>
        </w:tc>
      </w:tr>
    </w:tbl>
    <w:p w14:paraId="0CF421F2" w14:textId="77777777" w:rsidR="00B51E8A" w:rsidRPr="00B51E8A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Jekk in-notifika tikkonċerna applikazzjoni individwali għal għajnuna taħt skema, jekk jogħġbok spjega kif il-proġett jikkontribwixxi għall-għan tal-iskema u pprovdi dokumenti rilevanti ta’ sostenn (il-paragrafu 46 tal-RAG)?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51E8A" w14:paraId="489486C0" w14:textId="77777777" w:rsidTr="00F567F1">
        <w:tc>
          <w:tcPr>
            <w:tcW w:w="8391" w:type="dxa"/>
            <w:shd w:val="clear" w:color="auto" w:fill="auto"/>
          </w:tcPr>
          <w:p w14:paraId="0CC6FAE9" w14:textId="77777777" w:rsidR="00B51E8A" w:rsidRDefault="00B51E8A" w:rsidP="00F567F1">
            <w:r>
              <w:t>…</w:t>
            </w:r>
          </w:p>
        </w:tc>
      </w:tr>
    </w:tbl>
    <w:p w14:paraId="05023FE2" w14:textId="77777777" w:rsidR="00B51E8A" w:rsidRPr="00D16D8D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Jekk in-notifika tikkonċerna għajnuna </w:t>
      </w:r>
      <w:proofErr w:type="spellStart"/>
      <w:r>
        <w:rPr>
          <w:i/>
          <w:color w:val="000000"/>
        </w:rPr>
        <w:t>ad</w:t>
      </w:r>
      <w:proofErr w:type="spellEnd"/>
      <w:r>
        <w:rPr>
          <w:i/>
          <w:color w:val="000000"/>
        </w:rPr>
        <w:t> </w:t>
      </w:r>
      <w:proofErr w:type="spellStart"/>
      <w:r>
        <w:rPr>
          <w:i/>
          <w:color w:val="000000"/>
        </w:rPr>
        <w:t>hoc</w:t>
      </w:r>
      <w:proofErr w:type="spellEnd"/>
      <w:r>
        <w:rPr>
          <w:color w:val="000000"/>
        </w:rPr>
        <w:t>, jekk jogħġbok spjega kif il-proġett jikkontribwixxi għall-istrateġija ta’ żvilupp taż-żona kkonċernata u pprovdi dokumenti rilevanti ta’ sostenn (il-paragrafu 53 tal-RAG)?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51E8A" w14:paraId="7A3F4170" w14:textId="77777777" w:rsidTr="00F567F1">
        <w:tc>
          <w:tcPr>
            <w:tcW w:w="8391" w:type="dxa"/>
            <w:shd w:val="clear" w:color="auto" w:fill="auto"/>
          </w:tcPr>
          <w:p w14:paraId="42596332" w14:textId="77777777" w:rsidR="00B51E8A" w:rsidRDefault="00B51E8A" w:rsidP="00F567F1">
            <w:r>
              <w:t>…</w:t>
            </w:r>
          </w:p>
        </w:tc>
      </w:tr>
    </w:tbl>
    <w:p w14:paraId="67BE6271" w14:textId="77777777" w:rsidR="00B51E8A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lastRenderedPageBreak/>
        <w:t>Jekk jogħġbok spjega kif hija implimentata d-dispożizzjoni li tirrikjedi li l-investiment jinżamm fiż-żona kkonċernata għal mill-anqas 5 snin (3 snin għall-</w:t>
      </w:r>
      <w:proofErr w:type="spellStart"/>
      <w:r>
        <w:rPr>
          <w:color w:val="000000"/>
        </w:rPr>
        <w:t>SMEs</w:t>
      </w:r>
      <w:proofErr w:type="spellEnd"/>
      <w:r>
        <w:rPr>
          <w:color w:val="000000"/>
        </w:rPr>
        <w:t>) wara t-tlestija tiegħu (il-paragrafu 47 tal-RAG). Jekk jogħġbok ipprovdi r-referenza għad-dispożizzjoni rilevanti fil-bażi ġuridika (eż. il-kuntratt tal-għoti tal-għajnuna).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80DE0" w14:paraId="0403B9CB" w14:textId="77777777" w:rsidTr="00F567F1">
        <w:tc>
          <w:tcPr>
            <w:tcW w:w="8391" w:type="dxa"/>
            <w:shd w:val="clear" w:color="auto" w:fill="auto"/>
          </w:tcPr>
          <w:p w14:paraId="0DD37387" w14:textId="77777777" w:rsidR="00B80DE0" w:rsidRDefault="00B80DE0" w:rsidP="00F567F1">
            <w:r>
              <w:t>…</w:t>
            </w:r>
          </w:p>
        </w:tc>
      </w:tr>
    </w:tbl>
    <w:p w14:paraId="1DFB599E" w14:textId="77777777" w:rsidR="000432CC" w:rsidRPr="009830AE" w:rsidRDefault="00B51E8A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Fil-każijiet meta l-għajnuna hija kkalkolata fuq il-bażi tal-kostijiet tal-pagi, spjega kif hija implimentata d-dispożizzjoni li tirrikjedi li l-impjiegi jiġu maħluqa fi żmien 3 snin mit-tlestija tal-investiment u li kull impjieg maħluq mill-investiment jinżamm fiż-żona għal perjodu ta’ 5 snin (3 snin għall-</w:t>
      </w:r>
      <w:proofErr w:type="spellStart"/>
      <w:r>
        <w:rPr>
          <w:color w:val="000000"/>
        </w:rPr>
        <w:t>SMEs</w:t>
      </w:r>
      <w:proofErr w:type="spellEnd"/>
      <w:r>
        <w:rPr>
          <w:color w:val="000000"/>
        </w:rPr>
        <w:t>) mid-data li l-post jimtela l-ewwel darba (il-paragrafu 36 tal-RAG). Jekk jogħġbok ipprovdi r-referenza għad-dispożizzjoni rilevanti fil-bażi ġuridika (eż. il-kuntratt tal-għoti tal-għajnuna).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80DE0" w14:paraId="64AC8AC1" w14:textId="77777777" w:rsidTr="00F567F1">
        <w:tc>
          <w:tcPr>
            <w:tcW w:w="8391" w:type="dxa"/>
            <w:shd w:val="clear" w:color="auto" w:fill="auto"/>
          </w:tcPr>
          <w:p w14:paraId="4EA9D711" w14:textId="77777777" w:rsidR="00B80DE0" w:rsidRDefault="00B80DE0" w:rsidP="00F567F1">
            <w:r>
              <w:t>…</w:t>
            </w:r>
          </w:p>
        </w:tc>
      </w:tr>
    </w:tbl>
    <w:p w14:paraId="4A53F750" w14:textId="77777777" w:rsidR="00B51E8A" w:rsidRPr="00F945FA" w:rsidRDefault="00B80DE0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Jekk jogħġbok ipprovdi referenza għall-bażi ġuridika jew uri li r-riċevitur(i) għandu/</w:t>
      </w:r>
      <w:proofErr w:type="spellStart"/>
      <w:r>
        <w:rPr>
          <w:color w:val="000000"/>
        </w:rPr>
        <w:t>hom</w:t>
      </w:r>
      <w:proofErr w:type="spellEnd"/>
      <w:r>
        <w:rPr>
          <w:color w:val="000000"/>
        </w:rPr>
        <w:t xml:space="preserve"> jagħmel/jagħmlu kontribuzzjoni ta’ mill-anqas 25 % tal-kostijiet eliġibbli, mir-riżorsi tiegħu/tagħhom stess jew permezz ta’ finanzjament estern, f’forma li hija eżenti minn kull appoġġ finanzjarju pubbliku</w:t>
      </w:r>
      <w:r>
        <w:rPr>
          <w:vertAlign w:val="superscript"/>
        </w:rPr>
        <w:footnoteReference w:id="13"/>
      </w:r>
      <w:r>
        <w:rPr>
          <w:color w:val="000000"/>
        </w:rPr>
        <w:t>. (il-paragrafu 48 tal-RAG)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51E8A" w14:paraId="45639B0A" w14:textId="77777777" w:rsidTr="00F567F1">
        <w:tc>
          <w:tcPr>
            <w:tcW w:w="8391" w:type="dxa"/>
            <w:shd w:val="clear" w:color="auto" w:fill="auto"/>
          </w:tcPr>
          <w:p w14:paraId="124392CE" w14:textId="77777777" w:rsidR="00B51E8A" w:rsidRDefault="003947BC" w:rsidP="00F567F1">
            <w:r>
              <w:t>…</w:t>
            </w:r>
          </w:p>
        </w:tc>
      </w:tr>
    </w:tbl>
    <w:p w14:paraId="193F9CF0" w14:textId="77777777" w:rsidR="000432CC" w:rsidRPr="00D16D8D" w:rsidRDefault="00091F76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Ħadt impenn li twettaq Valutazzjoni tal-Impatt Ambjentali (“VIA”) għall-investiment? (il-paragrafu 49 tal-RAG)?</w:t>
      </w:r>
    </w:p>
    <w:p w14:paraId="38744F8C" w14:textId="77777777" w:rsidR="00DC5A80" w:rsidRDefault="000432CC" w:rsidP="00C359A9">
      <w:pPr>
        <w:pStyle w:val="Normal127"/>
        <w:tabs>
          <w:tab w:val="clear" w:pos="720"/>
          <w:tab w:val="clear" w:pos="1797"/>
          <w:tab w:val="left" w:pos="2410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ab/>
        <w:t>Iva</w:t>
      </w:r>
    </w:p>
    <w:p w14:paraId="611C75B7" w14:textId="77777777" w:rsidR="000432CC" w:rsidRPr="009830AE" w:rsidRDefault="000432CC" w:rsidP="00C359A9">
      <w:pPr>
        <w:pStyle w:val="Normal127"/>
        <w:tabs>
          <w:tab w:val="clear" w:pos="720"/>
          <w:tab w:val="clear" w:pos="1797"/>
          <w:tab w:val="left" w:pos="2410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ab/>
        <w:t xml:space="preserve">Le </w:t>
      </w:r>
    </w:p>
    <w:p w14:paraId="1BDCCEBD" w14:textId="77777777" w:rsidR="00B80DE0" w:rsidRPr="009830AE" w:rsidRDefault="00370A84" w:rsidP="00A80D24">
      <w:pPr>
        <w:pStyle w:val="Normal127"/>
      </w:pPr>
      <w:r>
        <w:t>Jekk le, spjega għaliex ma hijiex meħtieġa VIA għal dan il-proġett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80DE0" w14:paraId="2ABD896F" w14:textId="77777777" w:rsidTr="00F567F1">
        <w:tc>
          <w:tcPr>
            <w:tcW w:w="8391" w:type="dxa"/>
            <w:shd w:val="clear" w:color="auto" w:fill="auto"/>
          </w:tcPr>
          <w:p w14:paraId="00F3F9A9" w14:textId="77777777" w:rsidR="00B80DE0" w:rsidRDefault="00B80DE0" w:rsidP="00F567F1">
            <w:r>
              <w:t>…</w:t>
            </w:r>
          </w:p>
        </w:tc>
      </w:tr>
    </w:tbl>
    <w:p w14:paraId="444E3447" w14:textId="77777777" w:rsidR="00B719F2" w:rsidRPr="008715DA" w:rsidRDefault="00B719F2" w:rsidP="00B719F2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>Effett ta’ inċentiv tal-miżura</w:t>
      </w:r>
    </w:p>
    <w:p w14:paraId="07385BAE" w14:textId="77777777" w:rsidR="00B719F2" w:rsidRPr="00D16D8D" w:rsidRDefault="00B719F2" w:rsidP="00B719F2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Jekk jogħġbok ikkonferma li xogħlijiet fuq l-investiment individwali nnotifikat bdew biss wara li saret l-applikazzjoni għall-għajnuna (il-paragrafu 62 tal-RAG). Jekk jogħġbok ipprovdi kopja tal-applikazzjoni għall-għajnuna mibgħuta lill-awtorità tal-għoti mill-benefiċjarju u evidenza dokumentarja tad-data tal-bidu tax-xogħlijiet.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719F2" w14:paraId="642C7CD3" w14:textId="77777777" w:rsidTr="0020086D">
        <w:tc>
          <w:tcPr>
            <w:tcW w:w="8391" w:type="dxa"/>
            <w:shd w:val="clear" w:color="auto" w:fill="auto"/>
          </w:tcPr>
          <w:p w14:paraId="1821CFC5" w14:textId="77777777" w:rsidR="00B719F2" w:rsidRDefault="00B719F2" w:rsidP="0020086D">
            <w:r>
              <w:t>…</w:t>
            </w:r>
          </w:p>
        </w:tc>
      </w:tr>
    </w:tbl>
    <w:p w14:paraId="19BD96B4" w14:textId="77777777" w:rsidR="00B719F2" w:rsidRPr="00D16D8D" w:rsidRDefault="00B719F2" w:rsidP="00B719F2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Jekk jogħġbok spjega l-effett ta’ inċentiv tal-għajnuna billi tiddeskrivi x-xenarju kontrofattwali b’referenza għal wieħed miż-żewġ xenarji possibbli stabbiliti fil-paragrafu 59 tal-RAG.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719F2" w14:paraId="734B1D3B" w14:textId="77777777" w:rsidTr="0020086D">
        <w:tc>
          <w:tcPr>
            <w:tcW w:w="8391" w:type="dxa"/>
            <w:shd w:val="clear" w:color="auto" w:fill="auto"/>
          </w:tcPr>
          <w:p w14:paraId="194B2806" w14:textId="77777777" w:rsidR="00B719F2" w:rsidRDefault="00B719F2" w:rsidP="0020086D">
            <w:r>
              <w:lastRenderedPageBreak/>
              <w:t>…</w:t>
            </w:r>
          </w:p>
        </w:tc>
      </w:tr>
    </w:tbl>
    <w:p w14:paraId="23AD6356" w14:textId="77777777" w:rsidR="00B719F2" w:rsidRDefault="00B719F2" w:rsidP="00B719F2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t>Jekk l-għajnuna reġjonali hija mogħtija permezz ta’ fondi tal-politika ta’ koeżjoni jew il-FAEŻR f’żoni “a” għal investimenti meħtieġa sabiex jinkisbu standards stabbiliti mid-dritt tal-Unjoni, jekk jogħġbok spjega li ġej (u pprovdi dokumentazzjoni ta’ sostenn):</w:t>
      </w:r>
    </w:p>
    <w:p w14:paraId="4DC89A4E" w14:textId="77777777" w:rsidR="00B719F2" w:rsidRDefault="00B719F2" w:rsidP="00B719F2">
      <w:pPr>
        <w:pStyle w:val="Normal127Bullet63"/>
      </w:pPr>
      <w:r>
        <w:t>X’inhu l-istandard ikkonċernat?</w:t>
      </w:r>
    </w:p>
    <w:p w14:paraId="23D487CA" w14:textId="77777777" w:rsidR="00B719F2" w:rsidRDefault="00B719F2" w:rsidP="00B719F2">
      <w:pPr>
        <w:pStyle w:val="Normal127Bullet63"/>
      </w:pPr>
      <w:r>
        <w:t xml:space="preserve">Għaliex l-investiment huwa meħtieġ għall-ksib tal-istandard? </w:t>
      </w:r>
    </w:p>
    <w:p w14:paraId="2B6A27FA" w14:textId="77777777" w:rsidR="00B719F2" w:rsidRDefault="00B719F2" w:rsidP="00B719F2">
      <w:pPr>
        <w:pStyle w:val="Normal127Bullet63"/>
        <w:spacing w:after="120"/>
      </w:pPr>
      <w:r>
        <w:t>Għaliex fin-nuqqas tal-għajnuna, ma jkunx profittabbli biżżejjed għall-benefiċjarju sabiex jagħmel l-investiment fiż-żona kkonċernata (il-paragrafu 61 tal-RAG)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B719F2" w14:paraId="7EA25FE8" w14:textId="77777777" w:rsidTr="0020086D">
        <w:tc>
          <w:tcPr>
            <w:tcW w:w="8363" w:type="dxa"/>
            <w:shd w:val="clear" w:color="auto" w:fill="auto"/>
          </w:tcPr>
          <w:p w14:paraId="228C6243" w14:textId="77777777" w:rsidR="00B719F2" w:rsidRDefault="00B719F2" w:rsidP="0020086D">
            <w:r>
              <w:t>…</w:t>
            </w:r>
          </w:p>
        </w:tc>
      </w:tr>
    </w:tbl>
    <w:p w14:paraId="364630A2" w14:textId="77777777" w:rsidR="00B719F2" w:rsidRDefault="00B719F2" w:rsidP="00C359A9">
      <w:pPr>
        <w:pStyle w:val="NormalKop11"/>
        <w:numPr>
          <w:ilvl w:val="0"/>
          <w:numId w:val="0"/>
        </w:numPr>
        <w:spacing w:after="0"/>
        <w:rPr>
          <w:b/>
          <w:color w:val="000000"/>
        </w:rPr>
      </w:pPr>
    </w:p>
    <w:p w14:paraId="3DC47950" w14:textId="77777777" w:rsidR="000432CC" w:rsidRPr="002F24A6" w:rsidRDefault="000432CC" w:rsidP="00C359A9">
      <w:pPr>
        <w:pStyle w:val="NormalKop11"/>
        <w:numPr>
          <w:ilvl w:val="1"/>
          <w:numId w:val="2"/>
        </w:numPr>
        <w:spacing w:before="0"/>
        <w:ind w:left="720" w:hanging="720"/>
        <w:rPr>
          <w:b/>
          <w:color w:val="000000"/>
        </w:rPr>
      </w:pPr>
      <w:r>
        <w:rPr>
          <w:b/>
          <w:color w:val="000000"/>
        </w:rPr>
        <w:t>Adegwatezza tal-miżura</w:t>
      </w:r>
    </w:p>
    <w:p w14:paraId="356ED053" w14:textId="77777777" w:rsidR="000432CC" w:rsidRPr="00D16D8D" w:rsidRDefault="006D3603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Jekk in-notifika tikkonċerna għajnuna </w:t>
      </w:r>
      <w:proofErr w:type="spellStart"/>
      <w:r>
        <w:rPr>
          <w:i/>
          <w:color w:val="000000"/>
        </w:rPr>
        <w:t>ad</w:t>
      </w:r>
      <w:proofErr w:type="spellEnd"/>
      <w:r>
        <w:rPr>
          <w:i/>
          <w:color w:val="000000"/>
        </w:rPr>
        <w:t> </w:t>
      </w:r>
      <w:proofErr w:type="spellStart"/>
      <w:r>
        <w:rPr>
          <w:i/>
          <w:color w:val="000000"/>
        </w:rPr>
        <w:t>hoc</w:t>
      </w:r>
      <w:proofErr w:type="spellEnd"/>
      <w:r>
        <w:rPr>
          <w:color w:val="000000"/>
        </w:rPr>
        <w:t>, jekk jogħġbok uri kif l-iżvilupp taż-żona kkonċernata jiġi żgurat aħjar permezz ta’ din l-għajnuna minflok b’għajnuna taħt skema jew tipi oħrajn ta’ miżuri (il-paragrafu 83 tal-RAG):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2E0CDA" w14:paraId="24EF97CC" w14:textId="77777777" w:rsidTr="00F567F1">
        <w:tc>
          <w:tcPr>
            <w:tcW w:w="8391" w:type="dxa"/>
            <w:shd w:val="clear" w:color="auto" w:fill="auto"/>
          </w:tcPr>
          <w:p w14:paraId="773AC6F5" w14:textId="77777777" w:rsidR="002E0CDA" w:rsidRDefault="002E0CDA" w:rsidP="00F567F1">
            <w:r>
              <w:t>…</w:t>
            </w:r>
          </w:p>
        </w:tc>
      </w:tr>
    </w:tbl>
    <w:p w14:paraId="169F2B14" w14:textId="77777777" w:rsidR="000432CC" w:rsidRPr="00D16D8D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Jekk l-għajnuna tingħata f’forom li jipprovdu vantaġġ finanzjarju dirett</w:t>
      </w:r>
      <w:r>
        <w:rPr>
          <w:color w:val="000000"/>
          <w:vertAlign w:val="superscript"/>
        </w:rPr>
        <w:footnoteReference w:id="14"/>
      </w:r>
      <w:r>
        <w:rPr>
          <w:color w:val="000000"/>
        </w:rPr>
        <w:t>, jekk jogħġbok uri għaliex forom oħrajn ta’ għajnuna li potenzjalment ifixklu anqas, bħas-self bil-quddiem li jitħallas lura jew forom ta’ għajnuna li huma bbażati fuq strumenti ta’ dejn jew ta’ ekwità</w:t>
      </w:r>
      <w:r>
        <w:rPr>
          <w:rStyle w:val="FootnoteReference"/>
          <w:color w:val="000000"/>
        </w:rPr>
        <w:footnoteReference w:id="15"/>
      </w:r>
      <w:r>
        <w:rPr>
          <w:color w:val="000000"/>
        </w:rPr>
        <w:t xml:space="preserve"> ma humiex adattati (il-paragrafu 85 tal-RAG):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596877" w14:paraId="203FC958" w14:textId="77777777" w:rsidTr="00F567F1">
        <w:tc>
          <w:tcPr>
            <w:tcW w:w="8391" w:type="dxa"/>
            <w:shd w:val="clear" w:color="auto" w:fill="auto"/>
          </w:tcPr>
          <w:p w14:paraId="73445A0E" w14:textId="77777777" w:rsidR="00596877" w:rsidRDefault="00596877" w:rsidP="00F567F1">
            <w:r>
              <w:t>…</w:t>
            </w:r>
          </w:p>
        </w:tc>
      </w:tr>
    </w:tbl>
    <w:p w14:paraId="4A1BEAFE" w14:textId="77777777" w:rsidR="000432CC" w:rsidRPr="008715DA" w:rsidRDefault="00B719F2" w:rsidP="00093A59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>Proporzjonalità tal-miżura</w:t>
      </w:r>
    </w:p>
    <w:p w14:paraId="2C12EAB1" w14:textId="77777777" w:rsidR="000432CC" w:rsidRPr="009830AE" w:rsidRDefault="00B719F2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Għal każijiet tax-Xenarju 1, jekk jogħġbok ipprovdi l-informazzjoni li ġejja (jew irreferi għall-partijiet rilevanti tax-xenarju kontrofattwali ppreżentat) (il-paragrafu 96 tal-RAG):</w:t>
      </w:r>
    </w:p>
    <w:p w14:paraId="6CC248A9" w14:textId="77777777" w:rsidR="007D318F" w:rsidRPr="009830AE" w:rsidRDefault="000432CC" w:rsidP="007D318F">
      <w:pPr>
        <w:pStyle w:val="Normal127Bullet63"/>
        <w:spacing w:after="120"/>
      </w:pPr>
      <w:r>
        <w:t>il-kalkolu tar-Rata ta’ Redditu Interna (“IRR”) tal-investiment bl-għajnuna u mingħajrha</w:t>
      </w:r>
      <w:r>
        <w:rPr>
          <w:rStyle w:val="FootnoteReference"/>
        </w:rPr>
        <w:footnoteReference w:id="16"/>
      </w:r>
      <w:r>
        <w:t>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7D318F" w14:paraId="343F8C77" w14:textId="77777777" w:rsidTr="00093A59">
        <w:tc>
          <w:tcPr>
            <w:tcW w:w="8391" w:type="dxa"/>
            <w:shd w:val="clear" w:color="auto" w:fill="auto"/>
          </w:tcPr>
          <w:p w14:paraId="746A7CB8" w14:textId="77777777" w:rsidR="007D318F" w:rsidRDefault="009442E0" w:rsidP="00F567F1">
            <w:r>
              <w:t>…</w:t>
            </w:r>
          </w:p>
        </w:tc>
      </w:tr>
    </w:tbl>
    <w:p w14:paraId="04FC812F" w14:textId="77777777" w:rsidR="007D318F" w:rsidRPr="009830AE" w:rsidRDefault="000432CC" w:rsidP="007D318F">
      <w:pPr>
        <w:pStyle w:val="Normal127Bullet63"/>
        <w:spacing w:before="120" w:after="120"/>
      </w:pPr>
      <w:r>
        <w:t xml:space="preserve">informazzjoni dwar punti ta’ riferiment rilevanti għall-kumpanija (eż. rati normali ta’ redditu meħtieġa mill-benefiċjarju sabiex iwettaq proġetti </w:t>
      </w:r>
      <w:r>
        <w:lastRenderedPageBreak/>
        <w:t>simili, il-kost tal-kapital tal-kumpanija kollha, punti ta’ riferiment rilevanti tal-industrija):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7D318F" w14:paraId="72E96E70" w14:textId="77777777" w:rsidTr="00093A59">
        <w:tc>
          <w:tcPr>
            <w:tcW w:w="8391" w:type="dxa"/>
            <w:shd w:val="clear" w:color="auto" w:fill="auto"/>
          </w:tcPr>
          <w:p w14:paraId="65F49448" w14:textId="77777777" w:rsidR="007D318F" w:rsidRDefault="009442E0" w:rsidP="00F567F1">
            <w:r>
              <w:t>…</w:t>
            </w:r>
          </w:p>
        </w:tc>
      </w:tr>
    </w:tbl>
    <w:p w14:paraId="003EA831" w14:textId="77777777" w:rsidR="00694457" w:rsidRDefault="00694457" w:rsidP="00A80D24">
      <w:pPr>
        <w:pStyle w:val="Normal127Bullet63"/>
        <w:numPr>
          <w:ilvl w:val="0"/>
          <w:numId w:val="0"/>
        </w:numPr>
        <w:ind w:left="1077"/>
      </w:pPr>
    </w:p>
    <w:p w14:paraId="7EC709AF" w14:textId="77777777" w:rsidR="000B2B21" w:rsidRPr="009830AE" w:rsidRDefault="00443B9B" w:rsidP="000B2B21">
      <w:pPr>
        <w:pStyle w:val="Normal127Bullet63"/>
        <w:spacing w:before="120" w:after="120"/>
      </w:pPr>
      <w:r>
        <w:t>spjegazzjoni tar-raġuni għaliex, abbażi ta’ dan ta’ hawn fuq, l-għajnuna hija l-minimu meħtieġ sabiex il-proġett isir profittabbli biżżejjed: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0B2B21" w14:paraId="7B2236FF" w14:textId="77777777" w:rsidTr="00093A59">
        <w:tc>
          <w:tcPr>
            <w:tcW w:w="8391" w:type="dxa"/>
            <w:shd w:val="clear" w:color="auto" w:fill="auto"/>
          </w:tcPr>
          <w:p w14:paraId="34CB6D05" w14:textId="77777777" w:rsidR="000B2B21" w:rsidRDefault="009442E0" w:rsidP="00903F11">
            <w:r>
              <w:t>…</w:t>
            </w:r>
          </w:p>
        </w:tc>
      </w:tr>
    </w:tbl>
    <w:p w14:paraId="6AA4E133" w14:textId="77777777" w:rsidR="000B2B21" w:rsidRDefault="000B2B21" w:rsidP="00A80D24">
      <w:pPr>
        <w:pStyle w:val="Normal127Bullet63"/>
        <w:numPr>
          <w:ilvl w:val="0"/>
          <w:numId w:val="0"/>
        </w:numPr>
        <w:ind w:left="1077"/>
      </w:pPr>
    </w:p>
    <w:p w14:paraId="52605870" w14:textId="77777777" w:rsidR="00694457" w:rsidRPr="009830AE" w:rsidRDefault="00694457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Għal każijiet tax-Xenarju 2, jekk jogħġbok ipprovdi l-informazzjoni li ġejja (jew irreferi għall-partijiet rilevanti tax-xenarju kontrofattwali ppreżentat) (il-paragrafu 97 tal-RAG):</w:t>
      </w:r>
    </w:p>
    <w:p w14:paraId="552DA4A4" w14:textId="77777777" w:rsidR="00F52BA4" w:rsidRDefault="00AC3C96" w:rsidP="007D318F">
      <w:pPr>
        <w:pStyle w:val="Normal127Bullet63"/>
        <w:spacing w:before="120" w:after="120"/>
      </w:pPr>
      <w:r>
        <w:t>il-kalkolu fid-differenza tal-Valur Preżenti Nett (“VPN”) tal-investiment fiż-żona fil-mira u l-VPN tal-investiment fil-post alternattiv</w:t>
      </w:r>
      <w:r>
        <w:rPr>
          <w:rStyle w:val="FootnoteReference"/>
          <w:color w:val="000000"/>
        </w:rPr>
        <w:footnoteReference w:id="17"/>
      </w:r>
      <w:r>
        <w:t>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7D318F" w14:paraId="7693631B" w14:textId="77777777" w:rsidTr="00093A59">
        <w:tc>
          <w:tcPr>
            <w:tcW w:w="8391" w:type="dxa"/>
            <w:shd w:val="clear" w:color="auto" w:fill="auto"/>
          </w:tcPr>
          <w:p w14:paraId="53120D41" w14:textId="77777777" w:rsidR="007D318F" w:rsidRDefault="009442E0" w:rsidP="00F567F1">
            <w:r>
              <w:t>…</w:t>
            </w:r>
          </w:p>
        </w:tc>
      </w:tr>
    </w:tbl>
    <w:p w14:paraId="0F4E039D" w14:textId="77777777" w:rsidR="001A3C89" w:rsidRDefault="001A3C89" w:rsidP="001A3C89">
      <w:pPr>
        <w:pStyle w:val="Normal127Bullet63"/>
        <w:spacing w:before="120" w:after="120"/>
      </w:pPr>
      <w:r>
        <w:t>il-parametri kollha użati għall-kalkolu ta’ hawn fuq (fost l-oħrajn il-perjodu ta’ żmien ikkonċernat, ir-rata ta’ skont użata, eċċ.):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1A3C89" w14:paraId="32C1503A" w14:textId="77777777" w:rsidTr="00093A59">
        <w:tc>
          <w:tcPr>
            <w:tcW w:w="8391" w:type="dxa"/>
            <w:shd w:val="clear" w:color="auto" w:fill="auto"/>
          </w:tcPr>
          <w:p w14:paraId="3EED5ACD" w14:textId="77777777" w:rsidR="001A3C89" w:rsidRDefault="00C84883" w:rsidP="00903F11">
            <w:r>
              <w:t>…</w:t>
            </w:r>
          </w:p>
        </w:tc>
      </w:tr>
    </w:tbl>
    <w:p w14:paraId="3D2F8E2C" w14:textId="77777777" w:rsidR="001A3C89" w:rsidRPr="009830AE" w:rsidRDefault="00AC3C96" w:rsidP="001A3C89">
      <w:pPr>
        <w:pStyle w:val="Normal127Bullet63"/>
        <w:spacing w:before="120" w:after="120"/>
      </w:pPr>
      <w:r>
        <w:t>spjegazzjoni tar-raġuni għaliex abbażi ta’ dan ta’ hawn fuq l-għajnuna ma taqbiżx id-differenza bejn il-VPN tal-investiment fiż-żona fil-mira u l-VPN fil-post alternattiv: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1A3C89" w14:paraId="6BA7E166" w14:textId="77777777" w:rsidTr="00093A59">
        <w:tc>
          <w:tcPr>
            <w:tcW w:w="8391" w:type="dxa"/>
            <w:shd w:val="clear" w:color="auto" w:fill="auto"/>
          </w:tcPr>
          <w:p w14:paraId="646E044D" w14:textId="77777777" w:rsidR="001A3C89" w:rsidRDefault="00C84883" w:rsidP="00903F11">
            <w:r>
              <w:t>…</w:t>
            </w:r>
          </w:p>
        </w:tc>
      </w:tr>
    </w:tbl>
    <w:p w14:paraId="227F07AF" w14:textId="77777777" w:rsidR="000432CC" w:rsidRPr="00D1583F" w:rsidRDefault="000432CC" w:rsidP="00093A59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>Evitar ta’ effetti negattivi bla bżonn fuq il-kompetizzjoni u fuq il-kummerċ</w:t>
      </w:r>
    </w:p>
    <w:p w14:paraId="7E568156" w14:textId="77777777" w:rsidR="00322501" w:rsidRPr="00322501" w:rsidRDefault="00322501" w:rsidP="00A80D24">
      <w:pPr>
        <w:pStyle w:val="Normal127Bullet63"/>
        <w:numPr>
          <w:ilvl w:val="0"/>
          <w:numId w:val="0"/>
        </w:numPr>
        <w:ind w:left="1077" w:hanging="357"/>
        <w:rPr>
          <w:color w:val="000000"/>
          <w:u w:val="single"/>
        </w:rPr>
      </w:pPr>
      <w:r>
        <w:rPr>
          <w:color w:val="000000"/>
          <w:u w:val="single"/>
        </w:rPr>
        <w:t>Definizzjoni tas-suq rilevanti:</w:t>
      </w:r>
    </w:p>
    <w:p w14:paraId="57ACCC5B" w14:textId="519052E6" w:rsidR="000432CC" w:rsidRPr="009830AE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Ipprovdi l-informazzjoni speċifikata hawn taħt sabiex tidentifika s-suq/swieq tal-prodott ikkonċernat(i) (jiġifieri, prodotti affettwati mill-bidla fl-imġiba tal-benefiċjarju tal-għajnuna) u sabiex tidentifika l-kompetituri u l-klijenti/il-konsumaturi affettwati (il-paragrafu 124 u l-paragrafu 125 tal-RAG):</w:t>
      </w:r>
    </w:p>
    <w:p w14:paraId="1B28B2AD" w14:textId="28C92B94" w:rsidR="000432CC" w:rsidRPr="009830AE" w:rsidRDefault="005D2380" w:rsidP="0015397B">
      <w:pPr>
        <w:pStyle w:val="Normal127Bullet63"/>
        <w:spacing w:before="120" w:after="120"/>
      </w:pPr>
      <w:r>
        <w:t xml:space="preserve">Speċifika l-prodott(i) kollha li se jkun(u) manifatturat(i) fl-istabbiliment megħjun malli jkun lest l-investiment u indika, fejn huwa xieraq, il-kodiċi NACE jew kodiċi </w:t>
      </w:r>
      <w:proofErr w:type="spellStart"/>
      <w:r>
        <w:t>Prodcom</w:t>
      </w:r>
      <w:proofErr w:type="spellEnd"/>
      <w:r>
        <w:t xml:space="preserve"> jew in-nomenklatura CPA għal proġetti fis-setturi tas-servizzi.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E4008D" w14:paraId="61CEB1D9" w14:textId="77777777" w:rsidTr="00093A59">
        <w:tc>
          <w:tcPr>
            <w:tcW w:w="8363" w:type="dxa"/>
            <w:shd w:val="clear" w:color="auto" w:fill="auto"/>
          </w:tcPr>
          <w:p w14:paraId="035B54BE" w14:textId="77777777" w:rsidR="00E4008D" w:rsidRDefault="00E4008D" w:rsidP="00F567F1">
            <w:r>
              <w:t>…</w:t>
            </w:r>
          </w:p>
        </w:tc>
      </w:tr>
    </w:tbl>
    <w:p w14:paraId="5189ADD8" w14:textId="77777777" w:rsidR="000432CC" w:rsidRPr="009830AE" w:rsidRDefault="005D2380" w:rsidP="0015397B">
      <w:pPr>
        <w:pStyle w:val="Normal127Bullet63"/>
        <w:spacing w:before="120" w:after="120"/>
      </w:pPr>
      <w:r>
        <w:t xml:space="preserve">Jekk jogħġbok indika jekk il-prodotti previsti mill-proġett humiex se jissostitwixxu kwalunkwe prodott ieħor manifatturat mill-benefiċjarju (fil-livell ta’ grupp). Liema prodott(i) se jissostitwixxi? Jekk dawn il-prodotti sostitwiti ma humiex manifatturati fil-post tal-proġett, indika fejn qegħdin </w:t>
      </w:r>
      <w:r>
        <w:lastRenderedPageBreak/>
        <w:t xml:space="preserve">jiġu mmanifatturati bħalissa. Jekk jogħġbok ipprovdi deskrizzjoni tar-rabta bejn il-produzzjoni sostitwita u l-investiment attwali u agħti skeda ta’ żmien għas-sostituzzjoni. 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E4008D" w14:paraId="6DF851BF" w14:textId="77777777" w:rsidTr="00093A59">
        <w:tc>
          <w:tcPr>
            <w:tcW w:w="8363" w:type="dxa"/>
            <w:shd w:val="clear" w:color="auto" w:fill="auto"/>
          </w:tcPr>
          <w:p w14:paraId="29DF1368" w14:textId="77777777" w:rsidR="00E4008D" w:rsidRDefault="00E4008D" w:rsidP="00F567F1">
            <w:r>
              <w:t>…</w:t>
            </w:r>
          </w:p>
        </w:tc>
      </w:tr>
    </w:tbl>
    <w:p w14:paraId="6A650BD6" w14:textId="49B8F88F" w:rsidR="000432CC" w:rsidRPr="009830AE" w:rsidRDefault="005D2380" w:rsidP="0015397B">
      <w:pPr>
        <w:pStyle w:val="Normal127Bullet63"/>
        <w:spacing w:before="120" w:after="120"/>
      </w:pPr>
      <w:r>
        <w:t>Jekk jogħġbok indika liema prodott(i) ieħor/oħrajn jista’ jiġi mmanifatturat/jistgħu jiġu mmanifatturati bl-istess faċilitajiet ġodda (permezz tal-flessibbiltà tal-installazzjonijiet tal-produzzjoni tal-benefiċjarju) b’kost addizzjonali żgħir jew bl-ebda kost addizzjonali.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E4008D" w14:paraId="0262A767" w14:textId="77777777" w:rsidTr="00093A59">
        <w:tc>
          <w:tcPr>
            <w:tcW w:w="8363" w:type="dxa"/>
            <w:shd w:val="clear" w:color="auto" w:fill="auto"/>
          </w:tcPr>
          <w:p w14:paraId="41840FE5" w14:textId="77777777" w:rsidR="00E4008D" w:rsidRDefault="00E4008D" w:rsidP="00F567F1">
            <w:r>
              <w:t>…</w:t>
            </w:r>
          </w:p>
        </w:tc>
      </w:tr>
    </w:tbl>
    <w:p w14:paraId="1DBCBA6A" w14:textId="77777777" w:rsidR="000432CC" w:rsidRPr="009830AE" w:rsidRDefault="005D2380" w:rsidP="0015397B">
      <w:pPr>
        <w:pStyle w:val="Normal127Bullet63"/>
        <w:spacing w:before="120" w:after="120"/>
      </w:pPr>
      <w:r>
        <w:t xml:space="preserve">Jekk jogħġbok spjega jekk il-proġett </w:t>
      </w:r>
      <w:proofErr w:type="spellStart"/>
      <w:r>
        <w:t>jikkonċernax</w:t>
      </w:r>
      <w:proofErr w:type="spellEnd"/>
      <w:r>
        <w:t xml:space="preserve"> prodott intermedju u jekk parti sinifikanti mill-produzzjoni </w:t>
      </w:r>
      <w:proofErr w:type="spellStart"/>
      <w:r>
        <w:t>tinbiegħx</w:t>
      </w:r>
      <w:proofErr w:type="spellEnd"/>
      <w:r>
        <w:t xml:space="preserve"> mod ieħor milli fis-suq (taħt kundizzjonijiet tas-suq). Abbażi tal-ispjegazzjoni ta’ hawn fuq, sabiex ikunu kkalkolati s-sehem mis-suq u ż-żieda fil-kapaċità fil-bqija ta’ din it-taqsima, jekk jogħġbok indika jekk il-prodott ikkonċernat huwiex il-prodott previst mill-proġett jew jekk huwiex prodott downstream.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E4008D" w14:paraId="2A6BD21B" w14:textId="77777777" w:rsidTr="00093A59">
        <w:tc>
          <w:tcPr>
            <w:tcW w:w="8363" w:type="dxa"/>
            <w:shd w:val="clear" w:color="auto" w:fill="auto"/>
          </w:tcPr>
          <w:p w14:paraId="6C483D7D" w14:textId="77777777" w:rsidR="00E4008D" w:rsidRDefault="00E4008D" w:rsidP="00F567F1">
            <w:r>
              <w:t>…</w:t>
            </w:r>
          </w:p>
        </w:tc>
      </w:tr>
    </w:tbl>
    <w:p w14:paraId="05682CA8" w14:textId="5824585F" w:rsidR="000432CC" w:rsidRPr="009830AE" w:rsidRDefault="000432CC" w:rsidP="0015397B">
      <w:pPr>
        <w:pStyle w:val="Normal127Bullet63"/>
        <w:spacing w:before="120" w:after="120"/>
      </w:pPr>
      <w:r>
        <w:t>Indika s-suq/is-swieq tal-prodott rilevanti. Is-suq tal-prodott rilevanti jinkludi l-prodott ikkonċernat u s-sostituti tiegħu fuq in-naħa tad-domanda, jiġifieri prodotti meqjusin li huma hekk mill-konsumatur (minħabba l-karatteristiċi, il-prezzijiet u l-użu intenzjonat tal-prodott) u s-sostituti tiegħu fuq in-naħa tal-provvista, jiġifieri prodotti meqjusin li huma hekk mill-produtturi (permezz tal-flessibbiltà tal-installazzjonijiet tal-produzzjoni tal-benefiċjarju u tal-kompetituri tiegħu). Jekk jogħġbok indika xi tqis bħala s-sostituti rilevanti tan-naħa tad-domanda u tal-provvista f’dan il-każ. Jekk jogħġbok ipprovdi evidenza, jekk possibbli minn parti terza indipendenti, sabiex issostni l-konklużjonijiet tiegħek dwar dan il-punt.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E4008D" w14:paraId="0FA8F896" w14:textId="77777777" w:rsidTr="00093A59">
        <w:tc>
          <w:tcPr>
            <w:tcW w:w="8363" w:type="dxa"/>
            <w:shd w:val="clear" w:color="auto" w:fill="auto"/>
          </w:tcPr>
          <w:p w14:paraId="0885CA27" w14:textId="77777777" w:rsidR="00E4008D" w:rsidRDefault="00E4008D" w:rsidP="00F567F1">
            <w:r>
              <w:t>…</w:t>
            </w:r>
          </w:p>
        </w:tc>
      </w:tr>
    </w:tbl>
    <w:p w14:paraId="605551BB" w14:textId="77777777" w:rsidR="00C031DF" w:rsidRPr="00C031DF" w:rsidRDefault="00C031DF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Jekk jogħġbok ipprovdi informazzjoni, u evidenza ta’ sostenn, dwar is-suq ġeografiku rilevanti tal-benefiċjarju: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C031DF" w14:paraId="1AA7856E" w14:textId="77777777" w:rsidTr="00093A59">
        <w:tc>
          <w:tcPr>
            <w:tcW w:w="8363" w:type="dxa"/>
            <w:shd w:val="clear" w:color="auto" w:fill="auto"/>
          </w:tcPr>
          <w:p w14:paraId="442D5876" w14:textId="77777777" w:rsidR="00C031DF" w:rsidRDefault="00C031DF" w:rsidP="00B66639">
            <w:r>
              <w:t>…</w:t>
            </w:r>
          </w:p>
        </w:tc>
      </w:tr>
    </w:tbl>
    <w:p w14:paraId="27B68948" w14:textId="77777777" w:rsidR="007E4709" w:rsidRPr="007E4709" w:rsidRDefault="007E4709" w:rsidP="00322501">
      <w:pPr>
        <w:pStyle w:val="NormalKop111"/>
        <w:tabs>
          <w:tab w:val="clear" w:pos="720"/>
          <w:tab w:val="clear" w:pos="1440"/>
          <w:tab w:val="clear" w:pos="1797"/>
        </w:tabs>
        <w:rPr>
          <w:b/>
          <w:color w:val="000000"/>
          <w:u w:val="single"/>
        </w:rPr>
      </w:pPr>
      <w:r>
        <w:rPr>
          <w:b/>
          <w:color w:val="000000"/>
          <w:u w:val="single"/>
        </w:rPr>
        <w:t>Għal każijiet tax-xenarju 1</w:t>
      </w:r>
      <w:r>
        <w:rPr>
          <w:rStyle w:val="FootnoteReference"/>
          <w:color w:val="000000"/>
          <w:u w:val="single"/>
        </w:rPr>
        <w:footnoteReference w:id="18"/>
      </w:r>
    </w:p>
    <w:p w14:paraId="20BD4B1A" w14:textId="77777777" w:rsidR="00322501" w:rsidRPr="00322501" w:rsidRDefault="00322501" w:rsidP="00322501">
      <w:pPr>
        <w:pStyle w:val="NormalKop111"/>
        <w:tabs>
          <w:tab w:val="clear" w:pos="720"/>
          <w:tab w:val="clear" w:pos="1440"/>
          <w:tab w:val="clear" w:pos="1797"/>
        </w:tabs>
        <w:rPr>
          <w:color w:val="000000"/>
          <w:u w:val="single"/>
        </w:rPr>
      </w:pPr>
      <w:r>
        <w:rPr>
          <w:color w:val="000000"/>
          <w:u w:val="single"/>
        </w:rPr>
        <w:t>Saħħa tas-Suq (il-paragrafu 108 u l-paragrafu 127 tal-RAG):</w:t>
      </w:r>
    </w:p>
    <w:p w14:paraId="18F6E3EA" w14:textId="0770027A" w:rsidR="000432CC" w:rsidRPr="009830AE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Ipprovdi l-informazzjoni li ġejja dwar il-pożizzjoni tas-suq tal-benefiċjarju (tul perjodu ta’ żmien qabel jirċievi l-għajnuna u l-pożizzjoni tas-suq mistennija wara li jiġi ffinalizzat l-investiment) (il-paragrafu 133 tal-RAG):</w:t>
      </w:r>
    </w:p>
    <w:p w14:paraId="529235B7" w14:textId="77777777" w:rsidR="000432CC" w:rsidRPr="009830AE" w:rsidRDefault="000432CC" w:rsidP="0015397B">
      <w:pPr>
        <w:pStyle w:val="Normal127Bullet63"/>
        <w:spacing w:after="120"/>
      </w:pPr>
      <w:r>
        <w:t>stima tal-bejgħ kollu (f’termini ta’ valur u volum) tar-riċevitur tal-għajnuna fis-suq rilevanti (fil-livell ta’ grupp).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E4008D" w14:paraId="42E5F3A7" w14:textId="77777777" w:rsidTr="00093A59">
        <w:tc>
          <w:tcPr>
            <w:tcW w:w="8363" w:type="dxa"/>
            <w:shd w:val="clear" w:color="auto" w:fill="auto"/>
          </w:tcPr>
          <w:p w14:paraId="4E237FAD" w14:textId="77777777" w:rsidR="00E4008D" w:rsidRDefault="00E4008D" w:rsidP="00F567F1">
            <w:r>
              <w:t>…</w:t>
            </w:r>
          </w:p>
        </w:tc>
      </w:tr>
    </w:tbl>
    <w:p w14:paraId="0AC1256A" w14:textId="77777777" w:rsidR="000432CC" w:rsidRPr="009830AE" w:rsidRDefault="000432CC" w:rsidP="0015397B">
      <w:pPr>
        <w:pStyle w:val="Normal127Bullet63"/>
        <w:spacing w:before="120" w:after="120"/>
      </w:pPr>
      <w:r>
        <w:lastRenderedPageBreak/>
        <w:t>stima tal-bejgħ globali tal-produtturi kollha fis-suq rilevanti (f’termini ta’ valur u volum). Jekk ikunu disponibbli, inkludi statistiċi ppreparati minn sorsi pubbliċi u/jew indipendenti.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E4008D" w14:paraId="55F1F701" w14:textId="77777777" w:rsidTr="00093A59">
        <w:tc>
          <w:tcPr>
            <w:tcW w:w="8363" w:type="dxa"/>
            <w:shd w:val="clear" w:color="auto" w:fill="auto"/>
          </w:tcPr>
          <w:p w14:paraId="2EC4FB85" w14:textId="77777777" w:rsidR="00E4008D" w:rsidRDefault="00E4008D" w:rsidP="00F567F1">
            <w:r>
              <w:t>…</w:t>
            </w:r>
          </w:p>
        </w:tc>
      </w:tr>
    </w:tbl>
    <w:p w14:paraId="3E9DCB76" w14:textId="77777777" w:rsidR="000432CC" w:rsidRPr="009830AE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Ipprovdi valutazzjoni tal-istruttura tas-suq rilevanti billi tinkludi, pereżempju, il-livell ta’ konċentrazzjoni fis-suq, ostakoli possibbli għad-dħul, is-saħħa tax-xerrej u ostakoli għall-espansjoni jew il-ħruġ. </w:t>
      </w:r>
      <w:r>
        <w:t>Jekk jogħġbok ipprovdi evidenza, jekk possibbli minn parti terza indipendenti, sabiex issostni l-konklużjonijiet tiegħek dwar dan il-punt.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E4008D" w14:paraId="1C5DAEFA" w14:textId="77777777" w:rsidTr="00F567F1">
        <w:tc>
          <w:tcPr>
            <w:tcW w:w="8391" w:type="dxa"/>
            <w:shd w:val="clear" w:color="auto" w:fill="auto"/>
          </w:tcPr>
          <w:p w14:paraId="46934F80" w14:textId="77777777" w:rsidR="00E4008D" w:rsidRDefault="00E4008D" w:rsidP="00F567F1">
            <w:r>
              <w:t>…</w:t>
            </w:r>
          </w:p>
        </w:tc>
      </w:tr>
    </w:tbl>
    <w:p w14:paraId="510E7F9E" w14:textId="77777777" w:rsidR="00322501" w:rsidRPr="00322501" w:rsidRDefault="00D1583F" w:rsidP="00322501">
      <w:pPr>
        <w:pStyle w:val="NormalKop111"/>
        <w:tabs>
          <w:tab w:val="clear" w:pos="720"/>
          <w:tab w:val="clear" w:pos="1440"/>
          <w:tab w:val="clear" w:pos="1797"/>
        </w:tabs>
        <w:rPr>
          <w:color w:val="000000"/>
          <w:u w:val="single"/>
        </w:rPr>
      </w:pPr>
      <w:r>
        <w:rPr>
          <w:color w:val="000000"/>
          <w:u w:val="single"/>
        </w:rPr>
        <w:t>Kapaċità (il-paragrafu 127(1) tal-RAG):</w:t>
      </w:r>
    </w:p>
    <w:p w14:paraId="34429F39" w14:textId="77777777" w:rsidR="00BA3F74" w:rsidRPr="009830AE" w:rsidRDefault="00BA3F74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Ipprovdi stima tal-kapaċità tal-produzzjoni addizzjonali maħluqa mill-investiment (f’termini ta’ volum u ta’ valur):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A3F74" w14:paraId="77EF71D6" w14:textId="77777777" w:rsidTr="00B66639">
        <w:tc>
          <w:tcPr>
            <w:tcW w:w="8391" w:type="dxa"/>
            <w:shd w:val="clear" w:color="auto" w:fill="auto"/>
          </w:tcPr>
          <w:p w14:paraId="7AE32AD7" w14:textId="77777777" w:rsidR="00BA3F74" w:rsidRDefault="00BA3F74" w:rsidP="00B66639">
            <w:r>
              <w:t>…</w:t>
            </w:r>
          </w:p>
        </w:tc>
      </w:tr>
    </w:tbl>
    <w:p w14:paraId="37EF2923" w14:textId="77777777" w:rsidR="00C359A9" w:rsidRDefault="00C359A9" w:rsidP="00D1583F">
      <w:pPr>
        <w:pStyle w:val="NormalKop111"/>
        <w:tabs>
          <w:tab w:val="clear" w:pos="720"/>
          <w:tab w:val="clear" w:pos="1440"/>
          <w:tab w:val="clear" w:pos="1797"/>
        </w:tabs>
        <w:rPr>
          <w:b/>
          <w:color w:val="000000"/>
        </w:rPr>
      </w:pPr>
    </w:p>
    <w:p w14:paraId="6D09EA12" w14:textId="77777777" w:rsidR="00D1583F" w:rsidRPr="00D1583F" w:rsidRDefault="00C359A9" w:rsidP="00D1583F">
      <w:pPr>
        <w:pStyle w:val="NormalKop111"/>
        <w:tabs>
          <w:tab w:val="clear" w:pos="720"/>
          <w:tab w:val="clear" w:pos="1440"/>
          <w:tab w:val="clear" w:pos="1797"/>
        </w:tabs>
        <w:rPr>
          <w:b/>
          <w:color w:val="000000"/>
        </w:rPr>
      </w:pPr>
      <w:r>
        <w:rPr>
          <w:b/>
          <w:color w:val="000000"/>
        </w:rPr>
        <w:br w:type="page"/>
      </w:r>
      <w:r>
        <w:rPr>
          <w:b/>
          <w:color w:val="000000"/>
        </w:rPr>
        <w:lastRenderedPageBreak/>
        <w:t>Għall-każijiet kollha</w:t>
      </w:r>
    </w:p>
    <w:p w14:paraId="3065A3E2" w14:textId="77777777" w:rsidR="00D1583F" w:rsidRPr="00D1583F" w:rsidRDefault="00D1583F" w:rsidP="00D1583F">
      <w:pPr>
        <w:pStyle w:val="NormalKop111"/>
        <w:tabs>
          <w:tab w:val="clear" w:pos="720"/>
          <w:tab w:val="clear" w:pos="1440"/>
          <w:tab w:val="clear" w:pos="1797"/>
        </w:tabs>
        <w:rPr>
          <w:color w:val="000000"/>
          <w:u w:val="single"/>
        </w:rPr>
      </w:pPr>
      <w:r>
        <w:rPr>
          <w:color w:val="000000"/>
          <w:u w:val="single"/>
        </w:rPr>
        <w:t>Effetti negattivi evidenti:</w:t>
      </w:r>
    </w:p>
    <w:p w14:paraId="464CEBF2" w14:textId="77777777" w:rsidR="00BA3F74" w:rsidRPr="009830AE" w:rsidRDefault="00D1583F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>Għal każijiet tax-xenarju 1, jekk jogħġbok ipprovdi l-informazzjoni li ġejja, u evidenza ta’ sostenn, dwar is-suq tal-prodott rilevanti</w:t>
      </w:r>
      <w:r>
        <w:rPr>
          <w:vertAlign w:val="superscript"/>
        </w:rPr>
        <w:footnoteReference w:id="19"/>
      </w:r>
      <w:r>
        <w:rPr>
          <w:color w:val="000000"/>
        </w:rPr>
        <w:t>:</w:t>
      </w:r>
    </w:p>
    <w:p w14:paraId="10046A66" w14:textId="77777777" w:rsidR="00BA3F74" w:rsidRDefault="00BA3F74" w:rsidP="00BA3F74">
      <w:pPr>
        <w:pStyle w:val="Normal127Bullet63"/>
      </w:pPr>
      <w:r>
        <w:t>Minn perspettiva fit-tul, is-suq rilevanti sejjer lura strutturalment (jiġifieri, qiegħed juri rata ta’ tkabbir negattiva)? (il-paragrafu 130 tal-RAG)</w:t>
      </w:r>
    </w:p>
    <w:p w14:paraId="14728979" w14:textId="77777777" w:rsidR="000C480F" w:rsidRDefault="000C480F" w:rsidP="000C480F">
      <w:pPr>
        <w:pStyle w:val="Normal127Bullet63"/>
        <w:numPr>
          <w:ilvl w:val="0"/>
          <w:numId w:val="0"/>
        </w:numPr>
        <w:ind w:left="1797" w:hanging="360"/>
      </w:pP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175258" w14:paraId="5EC4B1B1" w14:textId="77777777" w:rsidTr="00093A59">
        <w:tc>
          <w:tcPr>
            <w:tcW w:w="8391" w:type="dxa"/>
            <w:shd w:val="clear" w:color="auto" w:fill="auto"/>
          </w:tcPr>
          <w:p w14:paraId="0910A633" w14:textId="77777777" w:rsidR="00175258" w:rsidRDefault="00175258" w:rsidP="00362D48">
            <w:r>
              <w:t>…</w:t>
            </w:r>
          </w:p>
        </w:tc>
      </w:tr>
    </w:tbl>
    <w:p w14:paraId="3AE1B1DC" w14:textId="77777777" w:rsidR="000C480F" w:rsidRDefault="000C480F" w:rsidP="000C480F">
      <w:pPr>
        <w:pStyle w:val="Normal127Bullet63"/>
        <w:numPr>
          <w:ilvl w:val="0"/>
          <w:numId w:val="0"/>
        </w:numPr>
      </w:pPr>
    </w:p>
    <w:p w14:paraId="7F712799" w14:textId="77777777" w:rsidR="00175258" w:rsidRDefault="00BA3F74" w:rsidP="00BA3F74">
      <w:pPr>
        <w:pStyle w:val="Normal127Bullet63"/>
      </w:pPr>
      <w:r>
        <w:t>Is-suq rilevanti sejjer lura b’mod relattiv (jiġifieri, qiegħed juri rata ta’ tkabbir pożittiva, iżda mhux aktar minn rata ta’ tkabbir ta’ riferiment)? (il-paragrafu 130 tal-RAG)</w:t>
      </w:r>
    </w:p>
    <w:p w14:paraId="33092141" w14:textId="77777777" w:rsidR="00175258" w:rsidRPr="009830AE" w:rsidRDefault="00BA3F74" w:rsidP="00175258">
      <w:pPr>
        <w:pStyle w:val="Normal127Bullet63"/>
        <w:numPr>
          <w:ilvl w:val="0"/>
          <w:numId w:val="0"/>
        </w:numPr>
        <w:ind w:left="1077"/>
      </w:pPr>
      <w: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175258" w14:paraId="37512556" w14:textId="77777777" w:rsidTr="00093A59">
        <w:tc>
          <w:tcPr>
            <w:tcW w:w="8391" w:type="dxa"/>
            <w:shd w:val="clear" w:color="auto" w:fill="auto"/>
          </w:tcPr>
          <w:p w14:paraId="004D7A15" w14:textId="77777777" w:rsidR="00175258" w:rsidRDefault="00175258" w:rsidP="00362D48">
            <w:r>
              <w:t>…</w:t>
            </w:r>
          </w:p>
        </w:tc>
      </w:tr>
    </w:tbl>
    <w:p w14:paraId="3F122671" w14:textId="77777777" w:rsidR="00BA3F74" w:rsidRPr="009830AE" w:rsidRDefault="00BA3F74" w:rsidP="009C5F4C">
      <w:pPr>
        <w:pStyle w:val="Normal127Bullet63"/>
        <w:numPr>
          <w:ilvl w:val="0"/>
          <w:numId w:val="0"/>
        </w:numPr>
        <w:ind w:left="1077"/>
      </w:pPr>
    </w:p>
    <w:p w14:paraId="365988E1" w14:textId="1EB3E679" w:rsidR="00D1583F" w:rsidRPr="009C5F4C" w:rsidRDefault="00D1583F" w:rsidP="00C359A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spacing w:before="0"/>
        <w:ind w:left="1418" w:hanging="698"/>
        <w:rPr>
          <w:color w:val="000000"/>
        </w:rPr>
      </w:pPr>
      <w:r>
        <w:rPr>
          <w:color w:val="000000"/>
        </w:rPr>
        <w:t xml:space="preserve">Għal każijiet tax-xenarju 2, indika jekk, mingħajr għajnuna, l-investiment kienx isir f’żona b’intensità tal-għajnuna reġjonali li hija ogħla jew l-istess bħal dik taż-żona fil-mira? </w:t>
      </w:r>
      <w:r>
        <w:t>(il-paragrafu 117 tal-RAG) Jekk jogħġbok ipprovdi evidenza sabiex tappoġġa l-pożizzjoni tiegħek.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D1583F" w14:paraId="213F0056" w14:textId="77777777" w:rsidTr="009C5F4C">
        <w:tc>
          <w:tcPr>
            <w:tcW w:w="8391" w:type="dxa"/>
            <w:shd w:val="clear" w:color="auto" w:fill="auto"/>
          </w:tcPr>
          <w:p w14:paraId="23E4F2B0" w14:textId="77777777" w:rsidR="00D1583F" w:rsidRDefault="00D1583F" w:rsidP="00B66639">
            <w:r>
              <w:t>…</w:t>
            </w:r>
          </w:p>
        </w:tc>
      </w:tr>
    </w:tbl>
    <w:p w14:paraId="08FCB824" w14:textId="13211B47" w:rsidR="00D1583F" w:rsidRPr="0034721F" w:rsidRDefault="00E505C2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Ikkonferma jekk il-benefiċjarju ppreżentax dikjarazzjoni li fiha huwa jikkonferma li, fil-livell ta’ grupp, ma għalaqx l-istess attività jew waħda simili </w:t>
      </w:r>
      <w:proofErr w:type="spellStart"/>
      <w:r>
        <w:rPr>
          <w:color w:val="000000"/>
        </w:rPr>
        <w:t>fiż</w:t>
      </w:r>
      <w:proofErr w:type="spellEnd"/>
      <w:r>
        <w:rPr>
          <w:color w:val="000000"/>
        </w:rPr>
        <w:t xml:space="preserve">-ŻEE fis-sentejn ta’ qabel l-applikazzjoni għall-għajnuna u ma huwiex beħsiebu jagħlaq l-istess attività jew waħda simili </w:t>
      </w:r>
      <w:proofErr w:type="spellStart"/>
      <w:r>
        <w:rPr>
          <w:color w:val="000000"/>
        </w:rPr>
        <w:t>fiż</w:t>
      </w:r>
      <w:proofErr w:type="spellEnd"/>
      <w:r>
        <w:rPr>
          <w:color w:val="000000"/>
        </w:rPr>
        <w:t>-ŻEE fis-sentejn wara t-tlestija tal-investiment (il-paragrafu 118 tal-RAG).</w:t>
      </w:r>
    </w:p>
    <w:p w14:paraId="6230E8D6" w14:textId="77777777" w:rsidR="00D1583F" w:rsidRPr="00F24AED" w:rsidRDefault="00D1583F" w:rsidP="00D1583F">
      <w:pPr>
        <w:pStyle w:val="Normal127"/>
        <w:tabs>
          <w:tab w:val="clear" w:pos="720"/>
          <w:tab w:val="clear" w:pos="1440"/>
          <w:tab w:val="left" w:pos="1418"/>
        </w:tabs>
        <w:ind w:left="1418"/>
      </w:pPr>
      <w:r>
        <w:t>Jekk ikun ipprovda din id-dikjarazzjoni, jekk jogħġbok ehmeż kopja tagħha man-notifika. Jekk ma kienx, jekk jogħġbok spjega għaliex ma għamilx dan.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D1583F" w14:paraId="7177A7A0" w14:textId="77777777" w:rsidTr="00B66639">
        <w:tc>
          <w:tcPr>
            <w:tcW w:w="8391" w:type="dxa"/>
            <w:shd w:val="clear" w:color="auto" w:fill="auto"/>
          </w:tcPr>
          <w:p w14:paraId="09613695" w14:textId="77777777" w:rsidR="00D1583F" w:rsidRDefault="00D1583F" w:rsidP="00B66639">
            <w:r>
              <w:t>…</w:t>
            </w:r>
          </w:p>
        </w:tc>
      </w:tr>
    </w:tbl>
    <w:p w14:paraId="1666997E" w14:textId="77777777" w:rsidR="00D1583F" w:rsidRPr="009830AE" w:rsidRDefault="00D1583F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Jekk il-benefiċjarju fil-livell ta’ grupp għalaq l-istess attività jew waħda simili f’żona oħra </w:t>
      </w:r>
      <w:proofErr w:type="spellStart"/>
      <w:r>
        <w:rPr>
          <w:color w:val="000000"/>
        </w:rPr>
        <w:t>fiż</w:t>
      </w:r>
      <w:proofErr w:type="spellEnd"/>
      <w:r>
        <w:rPr>
          <w:color w:val="000000"/>
        </w:rPr>
        <w:t xml:space="preserve">-ŻEE fis-sentejn ta’ qabel l-applikazzjoni għall-għajnuna, jew beħsiebu jagħmel hekk fis-sentejn wara t-tlestija tal-investiment, u </w:t>
      </w:r>
      <w:proofErr w:type="spellStart"/>
      <w:r>
        <w:rPr>
          <w:color w:val="000000"/>
        </w:rPr>
        <w:t>rriloka</w:t>
      </w:r>
      <w:proofErr w:type="spellEnd"/>
      <w:r>
        <w:rPr>
          <w:color w:val="000000"/>
        </w:rPr>
        <w:t xml:space="preserve"> din l-attività fiż-żona fil-mira, jew beħsiebu jagħmel hekk, jekk jogħġbok spjega għaliex iqis li ma hemm ebda rabta kawżali bejn l-għajnuna u r-rilokazzjoni (il-paragrafu 118 tal-RAG).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D1583F" w14:paraId="22B4E4FA" w14:textId="77777777" w:rsidTr="00B66639">
        <w:tc>
          <w:tcPr>
            <w:tcW w:w="8391" w:type="dxa"/>
            <w:shd w:val="clear" w:color="auto" w:fill="auto"/>
          </w:tcPr>
          <w:p w14:paraId="791B2DB1" w14:textId="77777777" w:rsidR="00D1583F" w:rsidRDefault="00D1583F" w:rsidP="00B66639">
            <w:r>
              <w:t>…</w:t>
            </w:r>
          </w:p>
        </w:tc>
      </w:tr>
    </w:tbl>
    <w:p w14:paraId="10C10019" w14:textId="77777777" w:rsidR="00D1583F" w:rsidRPr="009830AE" w:rsidRDefault="00D1583F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Spjega jekk l-għajnuna mill-Istat tirriżultax direttament f’telf sostanzjali ta’ impjiegi f’postijiet eżistenti </w:t>
      </w:r>
      <w:proofErr w:type="spellStart"/>
      <w:r>
        <w:rPr>
          <w:color w:val="000000"/>
        </w:rPr>
        <w:t>fiż</w:t>
      </w:r>
      <w:proofErr w:type="spellEnd"/>
      <w:r>
        <w:rPr>
          <w:color w:val="000000"/>
        </w:rPr>
        <w:t xml:space="preserve">-ŻEE. Jekk l-għajnuna mill-Istat tirriżulta f’telf </w:t>
      </w:r>
      <w:r>
        <w:rPr>
          <w:color w:val="000000"/>
        </w:rPr>
        <w:lastRenderedPageBreak/>
        <w:t xml:space="preserve">sostanzjali ta’ impjiegi f’postijiet eżistenti </w:t>
      </w:r>
      <w:proofErr w:type="spellStart"/>
      <w:r>
        <w:rPr>
          <w:color w:val="000000"/>
        </w:rPr>
        <w:t>fiż</w:t>
      </w:r>
      <w:proofErr w:type="spellEnd"/>
      <w:r>
        <w:rPr>
          <w:color w:val="000000"/>
        </w:rPr>
        <w:t>-ŻEE, indika n-numru tagħhom u l-proporzjon meta mqabbla mat-total tal-impjiegi tal-post(</w:t>
      </w:r>
      <w:proofErr w:type="spellStart"/>
      <w:r>
        <w:rPr>
          <w:color w:val="000000"/>
        </w:rPr>
        <w:t>ijiet</w:t>
      </w:r>
      <w:proofErr w:type="spellEnd"/>
      <w:r>
        <w:rPr>
          <w:color w:val="000000"/>
        </w:rPr>
        <w:t>) ikkonċernat(i).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D1583F" w14:paraId="06683FED" w14:textId="77777777" w:rsidTr="00B66639">
        <w:tc>
          <w:tcPr>
            <w:tcW w:w="8391" w:type="dxa"/>
            <w:shd w:val="clear" w:color="auto" w:fill="auto"/>
          </w:tcPr>
          <w:p w14:paraId="572D782D" w14:textId="77777777" w:rsidR="00D1583F" w:rsidRDefault="00D1583F" w:rsidP="00B66639">
            <w:r>
              <w:t>…</w:t>
            </w:r>
          </w:p>
        </w:tc>
      </w:tr>
    </w:tbl>
    <w:p w14:paraId="686917F3" w14:textId="77777777" w:rsidR="00B67020" w:rsidRDefault="00B67020" w:rsidP="00C359A9">
      <w:pPr>
        <w:spacing w:after="2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B67020" w:rsidRPr="009830AE" w14:paraId="0805771F" w14:textId="77777777" w:rsidTr="00AE6A93"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22C8AF9A" w14:textId="77777777" w:rsidR="00B67020" w:rsidRPr="009830AE" w:rsidRDefault="00B67020" w:rsidP="00093A59">
            <w:pPr>
              <w:pStyle w:val="Heading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Trasparenza </w:t>
            </w:r>
          </w:p>
        </w:tc>
      </w:tr>
    </w:tbl>
    <w:p w14:paraId="54B7A160" w14:textId="77777777" w:rsidR="00733697" w:rsidRPr="00562FB9" w:rsidRDefault="00733697" w:rsidP="0010307A">
      <w:pPr>
        <w:pStyle w:val="NumPar3"/>
        <w:numPr>
          <w:ilvl w:val="1"/>
          <w:numId w:val="2"/>
        </w:numPr>
        <w:spacing w:before="240"/>
        <w:ind w:left="709" w:hanging="709"/>
      </w:pPr>
      <w:r>
        <w:t>Jekk jogħġbok ikkonferma li t-test sħiħ tad-deċiżjoni għall-għoti ta’ għajnuna individwali jew tal-iskema ta’ għajnuna approvata u tad-dispożizzjonijiet ta’ implimentazzjoni tagħha, jew link għalih</w:t>
      </w:r>
      <w:bookmarkStart w:id="1" w:name="_Ref44059869"/>
      <w:r>
        <w:t xml:space="preserve"> u informazzjoni dwar kull għotja ta’ għajnuna individwali li taqbeż il-EUR 100 000, se jiġi ppubblikat bl-użu tal-istruttura fl-Anness VIII</w:t>
      </w:r>
      <w:bookmarkEnd w:id="1"/>
      <w:r>
        <w:t xml:space="preserve"> fil-Modulu għall-Għoti ta’ Trasparenza tal-Kummissjoni Ewropea jew fuq sit web komprensiv dwar l-għajnuna mill-Istat, fil-livell nazzjonali jew reġjonali</w:t>
      </w:r>
      <w:r>
        <w:rPr>
          <w:rStyle w:val="FootnoteReference"/>
        </w:rPr>
        <w:footnoteReference w:id="20"/>
      </w:r>
      <w:r>
        <w:t xml:space="preserve"> fi żmien 6 xhur mid-data tal-għoti tal-għajnuna, jew, għal għajnuna fil-forma ta’ vantaġġi tat-taxxa, fi żmien sena mid-data li fiha tkun dovuta d-dikjarazzjoni tat-taxxa.</w:t>
      </w:r>
    </w:p>
    <w:p w14:paraId="23B6B3CC" w14:textId="77777777" w:rsidR="00733697" w:rsidRPr="00562FB9" w:rsidRDefault="00733697" w:rsidP="00C359A9">
      <w:pPr>
        <w:pStyle w:val="Normal127"/>
        <w:tabs>
          <w:tab w:val="clear" w:pos="720"/>
          <w:tab w:val="clear" w:pos="1440"/>
          <w:tab w:val="clear" w:pos="1797"/>
          <w:tab w:val="left" w:pos="2410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 xml:space="preserve"> </w:t>
      </w:r>
      <w:r>
        <w:tab/>
        <w:t>Iva</w:t>
      </w:r>
    </w:p>
    <w:p w14:paraId="331C5D5F" w14:textId="77777777" w:rsidR="00733697" w:rsidRDefault="00733697" w:rsidP="0010307A">
      <w:pPr>
        <w:pStyle w:val="NumPar3"/>
        <w:numPr>
          <w:ilvl w:val="1"/>
          <w:numId w:val="2"/>
        </w:numPr>
        <w:spacing w:before="240"/>
        <w:ind w:left="709" w:hanging="709"/>
      </w:pPr>
      <w:r>
        <w:t>Jekk jogħġbok ipprovdi referenzi għad-dispożizzjonijiet rilevanti fil-bażi ġuridika li jistipulaw li l-awtorità tal-għoti għandha tippubblika fuq il-Modulu tal-Għoti ta’ Trasparenza jew fuq sit web komprensiv dwar l-għajnuna mill-Istat, fil-livell nazzjonali jew reġjonali</w:t>
      </w:r>
      <w:r>
        <w:rPr>
          <w:rStyle w:val="FootnoteReference"/>
        </w:rPr>
        <w:footnoteReference w:id="21"/>
      </w:r>
      <w:r>
        <w:t>, tal-anqas l-informazzjoni li ġejja dwar l-iskemi notifikati ta’ għajnuna mill-Istat: it-test tal-iskema ta’ għajnuna notifikata u d-dispożizzjonijiet ta’ implimentazzjoni tagħha, l-awtorità tal-għoti, il-benefiċjarji individwali, l-ammont ta’ għajnuna għal kull benefiċjarju u l-intensità tal-għajnuna. (il-paragrafu 136 tal-RAG)</w:t>
      </w:r>
    </w:p>
    <w:p w14:paraId="6236CB31" w14:textId="77777777" w:rsidR="00733697" w:rsidRDefault="00733697" w:rsidP="0010307A">
      <w:pPr>
        <w:pStyle w:val="NumPar3"/>
        <w:spacing w:before="240"/>
        <w:ind w:left="709"/>
      </w:pPr>
      <w:r>
        <w:t>Jekk dawn id-dispożizzjonijiet ma jkunux fis-seħħ, jekk jogħġbok spjega għaliex le. Bl-istess mod, jekk dawn id-dispożizzjonijiet ma jkunux inklużi fil-bażi ġuridika għall-iskema notifikata, iżda jkunu jinsabu f’dokumenti leġiżlattivi oħrajn, jekk jogħġbok indika dan.</w:t>
      </w:r>
    </w:p>
    <w:tbl>
      <w:tblPr>
        <w:tblW w:w="0" w:type="auto"/>
        <w:tblInd w:w="5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33"/>
      </w:tblGrid>
      <w:tr w:rsidR="00733697" w14:paraId="7BF817F2" w14:textId="77777777" w:rsidTr="00093A59">
        <w:tc>
          <w:tcPr>
            <w:tcW w:w="8533" w:type="dxa"/>
            <w:shd w:val="clear" w:color="auto" w:fill="auto"/>
          </w:tcPr>
          <w:p w14:paraId="6B1E1427" w14:textId="77777777" w:rsidR="00733697" w:rsidRDefault="00733697" w:rsidP="00E23622">
            <w:r>
              <w:t>…</w:t>
            </w:r>
          </w:p>
        </w:tc>
      </w:tr>
    </w:tbl>
    <w:p w14:paraId="77BBA1D0" w14:textId="77777777" w:rsidR="000C480F" w:rsidRDefault="00733697" w:rsidP="0010307A">
      <w:pPr>
        <w:pStyle w:val="NumPar3"/>
        <w:spacing w:before="240"/>
        <w:ind w:left="0"/>
      </w:pPr>
      <w:r>
        <w:t>Jekk jogħġbok ipprovdi referenzi għad-dispożizzjonijiet rilevanti fil-bażi ġuridika li jistipulaw li l-informazzjoni msemmija hawn fuq se tkun disponibbli għall-pubbliku ġenerali mingħajr restrizzjonijiet għal mill-anqas 10 snin mid-data tal-għoti tal-għajnuna. (il-paragrafu 140 tal-RAG).</w:t>
      </w:r>
    </w:p>
    <w:p w14:paraId="743B8EFD" w14:textId="77777777" w:rsidR="00E4008D" w:rsidRDefault="00E4008D" w:rsidP="001E05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0432CC" w:rsidRPr="009830AE" w14:paraId="33E55853" w14:textId="77777777" w:rsidTr="0015397B"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2BE96571" w14:textId="77777777" w:rsidR="000432CC" w:rsidRPr="009830AE" w:rsidRDefault="000432CC" w:rsidP="00093A59">
            <w:pPr>
              <w:pStyle w:val="Heading1"/>
              <w:numPr>
                <w:ilvl w:val="0"/>
                <w:numId w:val="2"/>
              </w:numPr>
              <w:ind w:left="482" w:hanging="482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Rapportar u Monitoraġġ </w:t>
            </w:r>
          </w:p>
        </w:tc>
      </w:tr>
    </w:tbl>
    <w:p w14:paraId="007A2B71" w14:textId="6EF1DB87" w:rsidR="000432CC" w:rsidRPr="00195366" w:rsidRDefault="000432CC" w:rsidP="0010307A">
      <w:pPr>
        <w:pStyle w:val="NormalKop111"/>
        <w:numPr>
          <w:ilvl w:val="1"/>
          <w:numId w:val="2"/>
        </w:numPr>
        <w:tabs>
          <w:tab w:val="clear" w:pos="720"/>
          <w:tab w:val="clear" w:pos="1440"/>
          <w:tab w:val="clear" w:pos="1797"/>
        </w:tabs>
        <w:ind w:left="709" w:hanging="709"/>
        <w:rPr>
          <w:rFonts w:cs="Times New Roman"/>
        </w:rPr>
      </w:pPr>
      <w:r>
        <w:t xml:space="preserve">Ikkonferma li f’konformità mar-Regolament tal-Kunsill (UE) Nru 2015/1589 tat-13 ta’ Lulju 2015 u mar-Regolament tal-Kummissjoni (KE) Nru 794/2004 tal-21 ta’ April 2004 li jimplimenta r-Regolament tal-Kunsill (UE) 2015/1589 li </w:t>
      </w:r>
      <w:proofErr w:type="spellStart"/>
      <w:r>
        <w:t>jistabblixxi</w:t>
      </w:r>
      <w:proofErr w:type="spellEnd"/>
      <w:r>
        <w:t xml:space="preserve"> regoli dettaljati għall-applikazzjoni tal-Artikolu 108 tat-Trattat dwar il-Funzjonament tal-Unjoni Ewropea, ir-rapporti annwali se jintbagħtu lill-Kummissjoni.</w:t>
      </w:r>
    </w:p>
    <w:p w14:paraId="69E145DF" w14:textId="77777777" w:rsidR="000432CC" w:rsidRPr="00163440" w:rsidRDefault="000432CC" w:rsidP="00C359A9">
      <w:pPr>
        <w:pStyle w:val="Normal127"/>
        <w:tabs>
          <w:tab w:val="clear" w:pos="720"/>
          <w:tab w:val="clear" w:pos="1440"/>
          <w:tab w:val="clear" w:pos="1797"/>
          <w:tab w:val="left" w:pos="2410"/>
        </w:tabs>
        <w:ind w:left="1985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D174AE">
        <w:rPr>
          <w:b/>
        </w:rPr>
      </w:r>
      <w:r w:rsidR="00D174AE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</w:t>
      </w:r>
      <w:r>
        <w:tab/>
        <w:t>Iva</w:t>
      </w:r>
    </w:p>
    <w:p w14:paraId="02426238" w14:textId="77777777" w:rsidR="000432CC" w:rsidRPr="001C2787" w:rsidRDefault="000432CC" w:rsidP="0010307A">
      <w:pPr>
        <w:pStyle w:val="NormalKop111"/>
        <w:numPr>
          <w:ilvl w:val="1"/>
          <w:numId w:val="2"/>
        </w:numPr>
        <w:tabs>
          <w:tab w:val="clear" w:pos="720"/>
          <w:tab w:val="clear" w:pos="1440"/>
          <w:tab w:val="clear" w:pos="1797"/>
        </w:tabs>
        <w:ind w:left="709" w:hanging="709"/>
        <w:rPr>
          <w:rFonts w:cs="Times New Roman"/>
          <w:color w:val="000000"/>
        </w:rPr>
      </w:pPr>
      <w:r>
        <w:t>Jekk jogħġbok ikkonferma li se jinżammu rekords dettaljati għal mill-anqas 10 snin mid-data tal-għoti tal-għajnuna, li jkun fihom l-informazzjoni u d-dokumentazzjoni ta’ sostenn meħtieġa sabiex jiġi stabbilit li l-kundizzjonijiet kollha ta’ kompatibbiltà huma ssodisfati, u li dawn ir-rekords se jiġu pprovduti lill-Kummissjoni meta ssir talba għalihom.</w:t>
      </w:r>
    </w:p>
    <w:p w14:paraId="47BEB3FE" w14:textId="77777777" w:rsidR="000432CC" w:rsidRPr="009830AE" w:rsidRDefault="000432CC" w:rsidP="00C359A9">
      <w:pPr>
        <w:pStyle w:val="Normal127"/>
        <w:tabs>
          <w:tab w:val="clear" w:pos="720"/>
          <w:tab w:val="clear" w:pos="1440"/>
          <w:tab w:val="clear" w:pos="1797"/>
          <w:tab w:val="left" w:pos="2410"/>
        </w:tabs>
        <w:ind w:left="198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74AE">
        <w:fldChar w:fldCharType="separate"/>
      </w:r>
      <w:r>
        <w:fldChar w:fldCharType="end"/>
      </w:r>
      <w:r>
        <w:t xml:space="preserve"> </w:t>
      </w:r>
      <w:r>
        <w:tab/>
        <w:t>Iva</w:t>
      </w:r>
    </w:p>
    <w:p w14:paraId="7A0BF336" w14:textId="77777777" w:rsidR="003C1A31" w:rsidRDefault="003C1A31"/>
    <w:sectPr w:rsidR="003C1A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86F39A" w16cid:durableId="2767BD67"/>
  <w16cid:commentId w16cid:paraId="440D7046" w16cid:durableId="2767BD68"/>
  <w16cid:commentId w16cid:paraId="283C35E9" w16cid:durableId="2767BD69"/>
  <w16cid:commentId w16cid:paraId="13C3BD6D" w16cid:durableId="2767BD6A"/>
  <w16cid:commentId w16cid:paraId="28ECF2C1" w16cid:durableId="2767BD6B"/>
  <w16cid:commentId w16cid:paraId="2934CE45" w16cid:durableId="2767BD6C"/>
  <w16cid:commentId w16cid:paraId="2529980D" w16cid:durableId="2767BD6D"/>
  <w16cid:commentId w16cid:paraId="6F62FE02" w16cid:durableId="2767BD6E"/>
  <w16cid:commentId w16cid:paraId="47BAFE91" w16cid:durableId="2767BD6F"/>
  <w16cid:commentId w16cid:paraId="137A28CA" w16cid:durableId="2767BD70"/>
  <w16cid:commentId w16cid:paraId="6BC4E454" w16cid:durableId="2767BD71"/>
  <w16cid:commentId w16cid:paraId="0FFE7A6D" w16cid:durableId="2767BD72"/>
  <w16cid:commentId w16cid:paraId="150D4F91" w16cid:durableId="2767BD73"/>
  <w16cid:commentId w16cid:paraId="704B2414" w16cid:durableId="2767BD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F5593" w14:textId="77777777" w:rsidR="00823C32" w:rsidRDefault="00823C32" w:rsidP="000432CC">
      <w:r>
        <w:separator/>
      </w:r>
    </w:p>
  </w:endnote>
  <w:endnote w:type="continuationSeparator" w:id="0">
    <w:p w14:paraId="5D335D5E" w14:textId="77777777" w:rsidR="00823C32" w:rsidRDefault="00823C32" w:rsidP="00043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414AE" w14:textId="77777777" w:rsidR="00823C32" w:rsidRDefault="00823C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6A421" w14:textId="77777777" w:rsidR="00823C32" w:rsidRDefault="00823C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6634B" w14:textId="77777777" w:rsidR="00823C32" w:rsidRDefault="00823C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71AF1" w14:textId="77777777" w:rsidR="00823C32" w:rsidRDefault="00823C32" w:rsidP="000432CC">
      <w:r>
        <w:separator/>
      </w:r>
    </w:p>
  </w:footnote>
  <w:footnote w:type="continuationSeparator" w:id="0">
    <w:p w14:paraId="7C202C03" w14:textId="77777777" w:rsidR="00823C32" w:rsidRDefault="00823C32" w:rsidP="000432CC">
      <w:r>
        <w:continuationSeparator/>
      </w:r>
    </w:p>
  </w:footnote>
  <w:footnote w:id="1">
    <w:p w14:paraId="046DC2D8" w14:textId="4F7FB09F" w:rsidR="00823C32" w:rsidRPr="00AF634A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  <w:t xml:space="preserve">Il-Linji Gwida dwar l-għajnuna reġjonali mill-Istat (ĠU C </w:t>
      </w:r>
      <w:r>
        <w:rPr>
          <w:rStyle w:val="Emphasis"/>
          <w:i w:val="0"/>
        </w:rPr>
        <w:t>153, 29.4.2021, p. 1)</w:t>
      </w:r>
      <w:r>
        <w:t>.</w:t>
      </w:r>
    </w:p>
  </w:footnote>
  <w:footnote w:id="2">
    <w:p w14:paraId="01D88E6C" w14:textId="77777777" w:rsidR="00823C32" w:rsidRPr="00FB5A31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>“L-istess attività jew waħda simili” tfisser attività li taqa’ taħt l-istess kategorija (kodiċi numeriku b’erba’ ċifri) tal-klassifikazzjoni statistika tal-attivitajiet ekonomiċi NACE Reviżjoni 2.</w:t>
      </w:r>
    </w:p>
  </w:footnote>
  <w:footnote w:id="3">
    <w:p w14:paraId="6BDC7051" w14:textId="70A790DC" w:rsidR="00823C32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>Kif definit fil-Komunikazzjoni tal-Kummissjoni — Il-linji gwida dwar l-għajnuna mill-Istat għas-salvataġġ u r-ristrutturar ta’ impriżi mhux finanzjarji f’diffikultà (ĠU C 249, 31.7.2014, p. 1).</w:t>
      </w:r>
    </w:p>
  </w:footnote>
  <w:footnote w:id="4">
    <w:p w14:paraId="02CDBE48" w14:textId="676D449A" w:rsidR="00823C32" w:rsidRPr="00527F99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>“</w:t>
      </w:r>
      <w:proofErr w:type="spellStart"/>
      <w:r>
        <w:t>SMEs</w:t>
      </w:r>
      <w:proofErr w:type="spellEnd"/>
      <w:r>
        <w:t>” tfisser intrapriżi li jissodisfaw il-kundizzjonijiet stipulati fir-Rakkomandazzjoni tal-Kummissjoni tas-6 ta’ Mejju 2003 dwar id-definizzjoni tal-intrapriżi mikro, żgħar u ta’ daqs medju (ĠU L 124, 20.5.2003, p. 36).</w:t>
      </w:r>
    </w:p>
  </w:footnote>
  <w:footnote w:id="5">
    <w:p w14:paraId="2A097519" w14:textId="77777777" w:rsidR="00823C32" w:rsidRPr="0056721A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>L-akkwiżizzjoni unika tal-ishma ta’ impriża ma tikkwalifikax bħala investiment inizjali.</w:t>
      </w:r>
    </w:p>
  </w:footnote>
  <w:footnote w:id="6">
    <w:p w14:paraId="2BFD5949" w14:textId="77777777" w:rsidR="00823C32" w:rsidRPr="00BC08A3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 xml:space="preserve">Il-kundizzjonijiet huma dawn li ġejjin: (1) Li l-investiment jikkonċerna investiment inizjali f’territorju identifikat għal appoġġ kofinanzjat mill-JTF f’żona “c” li għandha PDG </w:t>
      </w:r>
      <w:r>
        <w:rPr>
          <w:i/>
        </w:rPr>
        <w:t>per capita</w:t>
      </w:r>
      <w:r>
        <w:t xml:space="preserve"> taħt il-100 % tal-medja tal-EU-27; (2) li l-investiment u l-benefiċjarju jkunu identifikati fil-pjan territorjali għal tranżizzjoni ġusta ta’ Stat Membru approvat mill-Kummissjoni; u (3) li l-għajnuna mill-Istat għall-investiment tkun koperta mill-JTF sal-massimu permess. </w:t>
      </w:r>
    </w:p>
  </w:footnote>
  <w:footnote w:id="7">
    <w:p w14:paraId="73DCBACD" w14:textId="77777777" w:rsidR="00823C32" w:rsidRPr="00093A59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>Is-sempliċi akkwiżizzjoni tal-ishma ta’ impriża ma tikkwalifikax bħala investiment inizjali li joħloq attività ekonomika ġdida.</w:t>
      </w:r>
    </w:p>
  </w:footnote>
  <w:footnote w:id="8">
    <w:p w14:paraId="75F74461" w14:textId="77777777" w:rsidR="00823C32" w:rsidRPr="00D35343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 xml:space="preserve">Din id-dispożizzjoni ma tapplikax għal </w:t>
      </w:r>
      <w:proofErr w:type="spellStart"/>
      <w:r>
        <w:t>SMEs</w:t>
      </w:r>
      <w:proofErr w:type="spellEnd"/>
      <w:r>
        <w:t xml:space="preserve"> jew fil-każ tal-akkwiżizzjoni ta’ stabbiliment.</w:t>
      </w:r>
    </w:p>
  </w:footnote>
  <w:footnote w:id="9">
    <w:p w14:paraId="2A072B76" w14:textId="77777777" w:rsidR="00823C32" w:rsidRPr="005078A0" w:rsidRDefault="00823C32" w:rsidP="0010307A">
      <w:pPr>
        <w:pStyle w:val="FootnoteText"/>
        <w:tabs>
          <w:tab w:val="clear" w:pos="720"/>
          <w:tab w:val="left" w:pos="284"/>
        </w:tabs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>Il-paragrafu 33 tal-RAG jipprovdi li fil-każ ta’ intrapriżi kbar, il-kostijiet ta’ assi intanġibbli huma eliġibbli biss sa limitu ta’ 50 % tal-kostijiet ta’ investiment eliġibbli totali għall-investiment inizjali. Għall-</w:t>
      </w:r>
      <w:proofErr w:type="spellStart"/>
      <w:r>
        <w:t>SMEs</w:t>
      </w:r>
      <w:proofErr w:type="spellEnd"/>
      <w:r>
        <w:t>, huma eliġibbli 100 % tal-kostijiet tal-assi intanġibbli.</w:t>
      </w:r>
      <w:r>
        <w:tab/>
        <w:t>Il-paragrafu 34 tal-RAG jipprovdi li l-assi intanġibbli li jistgħu jitqiesu għall-kalkolu tal-kostijiet ta’ investiment iridu jibqgħu assoċjati mal-qasam ikkonċernat u ma għandhomx jiġu ttrasferiti għal oqsma oħrajn. Għal dan il-għan, l-assi intanġibbli jridu jissodisfaw il-kundizzjonijiet li ġejjin:</w:t>
      </w:r>
    </w:p>
    <w:p w14:paraId="701B08D5" w14:textId="77777777" w:rsidR="00823C32" w:rsidRDefault="00823C32" w:rsidP="0010307A">
      <w:pPr>
        <w:pStyle w:val="FootnoteText"/>
        <w:numPr>
          <w:ilvl w:val="0"/>
          <w:numId w:val="38"/>
        </w:numPr>
        <w:tabs>
          <w:tab w:val="clear" w:pos="720"/>
          <w:tab w:val="left" w:pos="709"/>
        </w:tabs>
        <w:ind w:left="709" w:hanging="425"/>
      </w:pPr>
      <w:r>
        <w:t>iridu jintużaw esklussivament fl-istabbiliment li jirċievi l-għajnuna;</w:t>
      </w:r>
    </w:p>
    <w:p w14:paraId="582ED1B5" w14:textId="77777777" w:rsidR="00823C32" w:rsidRDefault="00823C32" w:rsidP="0010307A">
      <w:pPr>
        <w:pStyle w:val="FootnoteText"/>
        <w:numPr>
          <w:ilvl w:val="0"/>
          <w:numId w:val="38"/>
        </w:numPr>
        <w:tabs>
          <w:tab w:val="clear" w:pos="720"/>
          <w:tab w:val="left" w:pos="709"/>
        </w:tabs>
        <w:ind w:left="709" w:hanging="425"/>
      </w:pPr>
      <w:r>
        <w:t xml:space="preserve">iridu jkunu </w:t>
      </w:r>
      <w:proofErr w:type="spellStart"/>
      <w:r>
        <w:t>amortizzabbli</w:t>
      </w:r>
      <w:proofErr w:type="spellEnd"/>
      <w:r>
        <w:t>;</w:t>
      </w:r>
    </w:p>
    <w:p w14:paraId="172FF030" w14:textId="77777777" w:rsidR="00823C32" w:rsidRDefault="00823C32" w:rsidP="0010307A">
      <w:pPr>
        <w:pStyle w:val="FootnoteText"/>
        <w:numPr>
          <w:ilvl w:val="0"/>
          <w:numId w:val="38"/>
        </w:numPr>
        <w:tabs>
          <w:tab w:val="clear" w:pos="720"/>
          <w:tab w:val="left" w:pos="709"/>
        </w:tabs>
        <w:ind w:left="709" w:hanging="425"/>
      </w:pPr>
      <w:r>
        <w:t xml:space="preserve">iridu jinxtraw skont kundizzjonijiet tas-suq minn partijiet terzi mhux relatati </w:t>
      </w:r>
      <w:proofErr w:type="spellStart"/>
      <w:r>
        <w:t>mal</w:t>
      </w:r>
      <w:proofErr w:type="spellEnd"/>
      <w:r>
        <w:t>-akkwirent;</w:t>
      </w:r>
    </w:p>
    <w:p w14:paraId="251E1657" w14:textId="65EDAB60" w:rsidR="00823C32" w:rsidRPr="00AD198F" w:rsidRDefault="00823C32" w:rsidP="00033078">
      <w:pPr>
        <w:pStyle w:val="FootnoteText"/>
        <w:numPr>
          <w:ilvl w:val="0"/>
          <w:numId w:val="38"/>
        </w:numPr>
        <w:tabs>
          <w:tab w:val="clear" w:pos="720"/>
          <w:tab w:val="left" w:pos="709"/>
        </w:tabs>
        <w:spacing w:after="120"/>
        <w:ind w:left="709" w:hanging="425"/>
      </w:pPr>
      <w:r>
        <w:t>iridu jiġu inklużi fl-assi tal-impriża li tkun qed tirċievi l-għajnuna u jridu jibqgħu assoċjati mal-proġett li għalih tkun ingħatat l-għajnuna għal mill-anqas ħames snin (tliet snin għall-</w:t>
      </w:r>
      <w:proofErr w:type="spellStart"/>
      <w:r>
        <w:t>SMEs</w:t>
      </w:r>
      <w:proofErr w:type="spellEnd"/>
      <w:r>
        <w:t>).</w:t>
      </w:r>
    </w:p>
  </w:footnote>
  <w:footnote w:id="10">
    <w:p w14:paraId="0BB39687" w14:textId="421B7DAB" w:rsidR="00823C32" w:rsidRPr="009C5F4C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vertAlign w:val="superscript"/>
          <w:lang w:val="en-GB"/>
        </w:rPr>
        <w:footnoteRef/>
      </w:r>
      <w:r>
        <w:tab/>
      </w:r>
      <w:r>
        <w:t>Avviż tal-Kummissjoni dwar ir-rati ta’ interess ta’ rkupru tal-għajnuna mill-Istat u r-rati ta’ referenza/ta’ skont applikabbli mill-1 ta’ Mejju 2021 (Ippubblikat f’konformità mal-Artikolu 10 tar-Regolament tal-Kummissjoni (KE) Nru 794/2004 tal-21 ta’ April 2004 (ĠU L 140, 30.4.2004, p. 1.) 2021/C 139/04.</w:t>
      </w:r>
    </w:p>
  </w:footnote>
  <w:footnote w:id="11">
    <w:p w14:paraId="03A26807" w14:textId="77777777" w:rsidR="00823C32" w:rsidRPr="009C5F4C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>L-ammont(i) ta’ għajnuna u l-kostijiet eliġibbli għandhom jiġu pprovduti kemm f’valuri nominali kif ukoll f’dawk skontati.</w:t>
      </w:r>
    </w:p>
  </w:footnote>
  <w:footnote w:id="12">
    <w:p w14:paraId="087D83C0" w14:textId="69D45D23" w:rsidR="00823C32" w:rsidRPr="00074190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 xml:space="preserve">Sabiex tagħmel dan </w:t>
      </w:r>
      <w:proofErr w:type="spellStart"/>
      <w:r>
        <w:t>tista</w:t>
      </w:r>
      <w:proofErr w:type="spellEnd"/>
      <w:r>
        <w:t>’, pereżempju, tirreferi għall-kriterji numerati fil-paragrafu 50 tal-RAG u/jew għall-pjan tan-negozju tal-benefiċjarju.</w:t>
      </w:r>
      <w:r>
        <w:rPr>
          <w:color w:val="000000"/>
        </w:rPr>
        <w:t xml:space="preserve"> L-effetti pożittivi mistennija jistgħu pereżempju jkunu relatati mal-għadd ta’ impjiegi maħluqin jew salvagwardjati, mal-attivitajiet tar-riċerka u l-iżvilupp u l-innovazzjoni, mat-taħriġ, mal-ħolqien ta’ </w:t>
      </w:r>
      <w:proofErr w:type="spellStart"/>
      <w:r>
        <w:rPr>
          <w:color w:val="000000"/>
        </w:rPr>
        <w:t>cluster</w:t>
      </w:r>
      <w:proofErr w:type="spellEnd"/>
      <w:r>
        <w:rPr>
          <w:color w:val="000000"/>
        </w:rPr>
        <w:t xml:space="preserve"> u mal-kontribut possibbli għat-tranżizzjoni diġitali u ekoloġika tal-ekonomija (inkluż, fejn rilevanti, informazzjoni dwar jekk l-investiment huwiex ambjentalment sostenibbli skont it-tifsira tar-Regolament tal-UE dwar it-Tassonomija 2020/852).</w:t>
      </w:r>
    </w:p>
  </w:footnote>
  <w:footnote w:id="13">
    <w:p w14:paraId="523420DC" w14:textId="77777777" w:rsidR="00823C32" w:rsidRPr="003E796D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vertAlign w:val="superscript"/>
          <w:lang w:val="en-GB"/>
        </w:rPr>
        <w:footnoteRef/>
      </w:r>
      <w:r>
        <w:tab/>
      </w:r>
      <w:r>
        <w:t xml:space="preserve">Din il-mistoqsija ma tapplikax għal self sussidjat, self pubbliku ta’ kapital ta’ ekwità jew parteċipazzjonijiet pubbliċi li ma jissodisfawx il-prinċipju ta’ investitur tas-suq, garanziji mill-Istat li fihom elementi ta’ għajnuna, jew appoġġ pubbliku mogħti fl-ambitu tar-regola </w:t>
      </w:r>
      <w:r>
        <w:rPr>
          <w:i/>
        </w:rPr>
        <w:t>de </w:t>
      </w:r>
      <w:proofErr w:type="spellStart"/>
      <w:r>
        <w:rPr>
          <w:i/>
        </w:rPr>
        <w:t>minimis</w:t>
      </w:r>
      <w:proofErr w:type="spellEnd"/>
      <w:r>
        <w:t>.</w:t>
      </w:r>
    </w:p>
  </w:footnote>
  <w:footnote w:id="14">
    <w:p w14:paraId="34DD7608" w14:textId="77777777" w:rsidR="00823C32" w:rsidRPr="00F800EA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>Pereżempju, għotjiet diretti, eżenzjonijiet jew tnaqqis tat-taxxi, sigurtà soċjali jew imposti obbligatorji oħrajn, jew il-provvista ta’ art, prodotti jew servizzi bi prezzijiet favorevoli, eċċ.</w:t>
      </w:r>
    </w:p>
  </w:footnote>
  <w:footnote w:id="15">
    <w:p w14:paraId="2F05F024" w14:textId="77777777" w:rsidR="00823C32" w:rsidRPr="009C5F4C" w:rsidRDefault="00823C32" w:rsidP="00033078">
      <w:pPr>
        <w:pStyle w:val="FootnoteText"/>
        <w:tabs>
          <w:tab w:val="clear" w:pos="720"/>
          <w:tab w:val="left" w:pos="284"/>
          <w:tab w:val="left" w:pos="567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>Pereżempju, self b’rati tal-imgħax baxxi jew tnaqqis tal-imgħax, garanziji tal-Istat, ix-xiri ta’ parteċipazzjoni azzjonarja jew injezzjoni alternattiva ta’ kapital b’termini favorevoli.</w:t>
      </w:r>
    </w:p>
  </w:footnote>
  <w:footnote w:id="16">
    <w:p w14:paraId="11DA69C0" w14:textId="77777777" w:rsidR="00823C32" w:rsidRPr="009C5F4C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>Il-perjodu ta’ żmien meqjus għall-kalkolu tal-IRR għandu jikkorrispondi ma’ skedi taż-żmien li normalment jitqiesu mill-industrija għal proġetti simili.</w:t>
      </w:r>
    </w:p>
  </w:footnote>
  <w:footnote w:id="17">
    <w:p w14:paraId="0317A7F8" w14:textId="77777777" w:rsidR="00823C32" w:rsidRPr="006F6B50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 xml:space="preserve">Il-kostijiet u l-benefiċċji rilevanti kollha jridu jitqiesu, inkluż pereżempju, il-kostijiet amministrattivi, il-kostijiet għat-trasport, il-kostijiet għat-taħriġ li ma humiex koperti minn għajnuna għat-taħriġ kif ukoll id-differenzi fil-pagi. Madankollu, f’każ li l-post alternattiv ikun jinsab </w:t>
      </w:r>
      <w:proofErr w:type="spellStart"/>
      <w:r>
        <w:t>fiż</w:t>
      </w:r>
      <w:proofErr w:type="spellEnd"/>
      <w:r>
        <w:t>-ŻEE, is-sussidji mogħtija f’dak il-post ieħor ma jistgħux jitqiesu.</w:t>
      </w:r>
    </w:p>
  </w:footnote>
  <w:footnote w:id="18">
    <w:p w14:paraId="3D9397EE" w14:textId="77777777" w:rsidR="00823C32" w:rsidRPr="007E4709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>Jekk jogħġbok ipprovdi wkoll din l-informazzjoni għal sitwazzjonijiet tax-xenarju 2 fejn l-investiment, fix-xenarju kontrofattwali, isir f’suq ġeografiku differenti</w:t>
      </w:r>
    </w:p>
  </w:footnote>
  <w:footnote w:id="19">
    <w:p w14:paraId="62386033" w14:textId="77777777" w:rsidR="00823C32" w:rsidRPr="00BA7089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 xml:space="preserve">Prestazzjoni baxxa tas-suq tipikament titkejjel kontra l-PDG </w:t>
      </w:r>
      <w:proofErr w:type="spellStart"/>
      <w:r>
        <w:t>taż</w:t>
      </w:r>
      <w:proofErr w:type="spellEnd"/>
      <w:r>
        <w:t xml:space="preserve">-ŻEE matul it-3 snin qabel il-bidu tal-proġett (rata ta’ riferiment); din tista’ titkejjel ukoll abbażi tar-rati tat-tkabbir imbassra għat-3 snin sa 5 snin li jkun imiss. L-indikaturi jistgħu jinkludu t-tkabbir futur mistenni tas-suq ikkonċernat u r-rati tal-użu tal-kapaċità mistennija </w:t>
      </w:r>
      <w:proofErr w:type="spellStart"/>
      <w:r>
        <w:t>riżultanti</w:t>
      </w:r>
      <w:proofErr w:type="spellEnd"/>
      <w:r>
        <w:t>, kif ukoll l-impatt possibbli taż-żieda fil-kapaċità fuq il-kompetituri f’termini ta’ prezzijiet u marġnijiet tal-profitt.</w:t>
      </w:r>
    </w:p>
  </w:footnote>
  <w:footnote w:id="20">
    <w:p w14:paraId="27CF7419" w14:textId="77777777" w:rsidR="00823C32" w:rsidRPr="00562FB9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>Kif definit fl-Anness III tar-Regolament tal-Kummissjoni (UE) Nru 651/2014 tas-17 ta’ Ġunju 2014 li jiddikjara li ċerti kategoriji ta’ għajnuna huma kompatibbli mas-suq intern skont l-Artikoli 107 u 108 tat-Trattat.</w:t>
      </w:r>
    </w:p>
  </w:footnote>
  <w:footnote w:id="21">
    <w:p w14:paraId="5CA5A850" w14:textId="77777777" w:rsidR="00823C32" w:rsidRPr="00562FB9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>Kif definit fl-Anness III tar-Regolament tal-Kummissjoni (UE) Nru 651/2014 tas-17 ta’ Ġunju 2014 li jiddikjara li ċerti kategoriji ta’ għajnuna huma kompatibbli mas-suq intern skont l-Artikoli 107 u 108 tat-Trattat.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5B9EB" w14:textId="77777777" w:rsidR="00823C32" w:rsidRDefault="00823C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7269B" w14:textId="77777777" w:rsidR="00823C32" w:rsidRDefault="00823C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EFFD3" w14:textId="77777777" w:rsidR="00823C32" w:rsidRDefault="00823C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AB026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3EF4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C0F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C279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E60B5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52BC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7092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F48D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9AA053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7E916F6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217807"/>
    <w:multiLevelType w:val="hybridMultilevel"/>
    <w:tmpl w:val="F4527DE8"/>
    <w:lvl w:ilvl="0" w:tplc="4F6E859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E446D29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C419AB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6CD7BC5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1EE5997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3BB6657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FA759C7"/>
    <w:multiLevelType w:val="singleLevel"/>
    <w:tmpl w:val="A14EABDE"/>
    <w:lvl w:ilvl="0">
      <w:start w:val="1"/>
      <w:numFmt w:val="bullet"/>
      <w:pStyle w:val="ListDash1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C194533"/>
    <w:multiLevelType w:val="multilevel"/>
    <w:tmpl w:val="CE0AF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1746E9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EF92375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FB3ED4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3" w15:restartNumberingAfterBreak="0">
    <w:nsid w:val="478E5208"/>
    <w:multiLevelType w:val="hybridMultilevel"/>
    <w:tmpl w:val="15A49FFC"/>
    <w:lvl w:ilvl="0" w:tplc="80BAE652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C632B5"/>
    <w:multiLevelType w:val="hybridMultilevel"/>
    <w:tmpl w:val="68341362"/>
    <w:lvl w:ilvl="0" w:tplc="A14EABDE">
      <w:numFmt w:val="bullet"/>
      <w:lvlText w:val="-"/>
      <w:lvlJc w:val="left"/>
      <w:pPr>
        <w:ind w:left="2016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8090001">
      <w:start w:val="1"/>
      <w:numFmt w:val="bullet"/>
      <w:pStyle w:val="NumPar4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5" w15:restartNumberingAfterBreak="0">
    <w:nsid w:val="54272985"/>
    <w:multiLevelType w:val="hybridMultilevel"/>
    <w:tmpl w:val="0680BB60"/>
    <w:lvl w:ilvl="0" w:tplc="4086D8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F1F76"/>
    <w:multiLevelType w:val="hybridMultilevel"/>
    <w:tmpl w:val="5A96BCA8"/>
    <w:lvl w:ilvl="0" w:tplc="4F6E859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74594D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D0D5419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E8653D2"/>
    <w:multiLevelType w:val="hybridMultilevel"/>
    <w:tmpl w:val="5B96E2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24"/>
  </w:num>
  <w:num w:numId="4">
    <w:abstractNumId w:val="17"/>
  </w:num>
  <w:num w:numId="5">
    <w:abstractNumId w:val="23"/>
  </w:num>
  <w:num w:numId="6">
    <w:abstractNumId w:val="22"/>
  </w:num>
  <w:num w:numId="7">
    <w:abstractNumId w:val="11"/>
  </w:num>
  <w:num w:numId="8">
    <w:abstractNumId w:val="21"/>
  </w:num>
  <w:num w:numId="9">
    <w:abstractNumId w:val="27"/>
  </w:num>
  <w:num w:numId="10">
    <w:abstractNumId w:val="9"/>
  </w:num>
  <w:num w:numId="11">
    <w:abstractNumId w:val="1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14"/>
  </w:num>
  <w:num w:numId="25">
    <w:abstractNumId w:val="13"/>
  </w:num>
  <w:num w:numId="26">
    <w:abstractNumId w:val="12"/>
  </w:num>
  <w:num w:numId="27">
    <w:abstractNumId w:val="10"/>
  </w:num>
  <w:num w:numId="28">
    <w:abstractNumId w:val="26"/>
  </w:num>
  <w:num w:numId="29">
    <w:abstractNumId w:val="18"/>
  </w:num>
  <w:num w:numId="30">
    <w:abstractNumId w:val="28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25"/>
  </w:num>
  <w:num w:numId="39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432CC"/>
    <w:rsid w:val="00007136"/>
    <w:rsid w:val="00010BA3"/>
    <w:rsid w:val="0001142A"/>
    <w:rsid w:val="00012D1C"/>
    <w:rsid w:val="000165F8"/>
    <w:rsid w:val="00022520"/>
    <w:rsid w:val="00025F6C"/>
    <w:rsid w:val="000326CF"/>
    <w:rsid w:val="00033078"/>
    <w:rsid w:val="00035E77"/>
    <w:rsid w:val="000400B9"/>
    <w:rsid w:val="000432CC"/>
    <w:rsid w:val="000453FC"/>
    <w:rsid w:val="00045744"/>
    <w:rsid w:val="00055E35"/>
    <w:rsid w:val="00056218"/>
    <w:rsid w:val="00065484"/>
    <w:rsid w:val="00071D1B"/>
    <w:rsid w:val="00074190"/>
    <w:rsid w:val="000756E0"/>
    <w:rsid w:val="00086748"/>
    <w:rsid w:val="00091F76"/>
    <w:rsid w:val="00093A59"/>
    <w:rsid w:val="00096A40"/>
    <w:rsid w:val="00097C0F"/>
    <w:rsid w:val="00097D0F"/>
    <w:rsid w:val="000B2B21"/>
    <w:rsid w:val="000C3922"/>
    <w:rsid w:val="000C480F"/>
    <w:rsid w:val="000D1ED2"/>
    <w:rsid w:val="000D3E5F"/>
    <w:rsid w:val="000D6917"/>
    <w:rsid w:val="000D782C"/>
    <w:rsid w:val="000F4357"/>
    <w:rsid w:val="0010307A"/>
    <w:rsid w:val="001118C4"/>
    <w:rsid w:val="00114C5D"/>
    <w:rsid w:val="00121BC1"/>
    <w:rsid w:val="00123823"/>
    <w:rsid w:val="00124FA1"/>
    <w:rsid w:val="00133336"/>
    <w:rsid w:val="00135E77"/>
    <w:rsid w:val="00136C6B"/>
    <w:rsid w:val="001376E0"/>
    <w:rsid w:val="00141698"/>
    <w:rsid w:val="00141E9F"/>
    <w:rsid w:val="00142F96"/>
    <w:rsid w:val="0015397B"/>
    <w:rsid w:val="00154588"/>
    <w:rsid w:val="00162C83"/>
    <w:rsid w:val="00163440"/>
    <w:rsid w:val="00164EDA"/>
    <w:rsid w:val="001678C5"/>
    <w:rsid w:val="001723D3"/>
    <w:rsid w:val="001749D1"/>
    <w:rsid w:val="00175258"/>
    <w:rsid w:val="00195366"/>
    <w:rsid w:val="001A0FF2"/>
    <w:rsid w:val="001A3C89"/>
    <w:rsid w:val="001A76DE"/>
    <w:rsid w:val="001B35FC"/>
    <w:rsid w:val="001B7D89"/>
    <w:rsid w:val="001C2787"/>
    <w:rsid w:val="001E05D7"/>
    <w:rsid w:val="001E1980"/>
    <w:rsid w:val="001E4B95"/>
    <w:rsid w:val="001F156C"/>
    <w:rsid w:val="001F58EF"/>
    <w:rsid w:val="0020086D"/>
    <w:rsid w:val="002031C9"/>
    <w:rsid w:val="002223C3"/>
    <w:rsid w:val="002325B2"/>
    <w:rsid w:val="002436DE"/>
    <w:rsid w:val="0025149B"/>
    <w:rsid w:val="00251F38"/>
    <w:rsid w:val="0025532B"/>
    <w:rsid w:val="002557B2"/>
    <w:rsid w:val="0026108C"/>
    <w:rsid w:val="0027048B"/>
    <w:rsid w:val="00277E90"/>
    <w:rsid w:val="00281DC9"/>
    <w:rsid w:val="00287055"/>
    <w:rsid w:val="00291206"/>
    <w:rsid w:val="0029316D"/>
    <w:rsid w:val="002A74E7"/>
    <w:rsid w:val="002B619F"/>
    <w:rsid w:val="002C4368"/>
    <w:rsid w:val="002C4B01"/>
    <w:rsid w:val="002E0CDA"/>
    <w:rsid w:val="002F24A6"/>
    <w:rsid w:val="002F69A4"/>
    <w:rsid w:val="00301B38"/>
    <w:rsid w:val="0030437C"/>
    <w:rsid w:val="0030784B"/>
    <w:rsid w:val="00322501"/>
    <w:rsid w:val="00323A88"/>
    <w:rsid w:val="00325168"/>
    <w:rsid w:val="00325ADD"/>
    <w:rsid w:val="00326D78"/>
    <w:rsid w:val="003300E4"/>
    <w:rsid w:val="00332900"/>
    <w:rsid w:val="00340322"/>
    <w:rsid w:val="0034721F"/>
    <w:rsid w:val="00362D48"/>
    <w:rsid w:val="00370A84"/>
    <w:rsid w:val="00371876"/>
    <w:rsid w:val="00386B2D"/>
    <w:rsid w:val="003947BC"/>
    <w:rsid w:val="0039571D"/>
    <w:rsid w:val="00395A08"/>
    <w:rsid w:val="003A2877"/>
    <w:rsid w:val="003A2F0C"/>
    <w:rsid w:val="003A499C"/>
    <w:rsid w:val="003B43DE"/>
    <w:rsid w:val="003C1A31"/>
    <w:rsid w:val="003C7FD1"/>
    <w:rsid w:val="003E08FC"/>
    <w:rsid w:val="003E223C"/>
    <w:rsid w:val="0040069E"/>
    <w:rsid w:val="004033E5"/>
    <w:rsid w:val="004255FA"/>
    <w:rsid w:val="004334A7"/>
    <w:rsid w:val="00443B9B"/>
    <w:rsid w:val="004479F6"/>
    <w:rsid w:val="00455814"/>
    <w:rsid w:val="00460156"/>
    <w:rsid w:val="00464312"/>
    <w:rsid w:val="00495147"/>
    <w:rsid w:val="0049621F"/>
    <w:rsid w:val="004A7C2E"/>
    <w:rsid w:val="004B2F1A"/>
    <w:rsid w:val="004B7F8F"/>
    <w:rsid w:val="004D3AFE"/>
    <w:rsid w:val="004D6C4A"/>
    <w:rsid w:val="004E1D8F"/>
    <w:rsid w:val="004E534E"/>
    <w:rsid w:val="004E6D9D"/>
    <w:rsid w:val="004F3F59"/>
    <w:rsid w:val="004F60C4"/>
    <w:rsid w:val="004F7F4D"/>
    <w:rsid w:val="005078A0"/>
    <w:rsid w:val="005118EB"/>
    <w:rsid w:val="00516B30"/>
    <w:rsid w:val="00516C73"/>
    <w:rsid w:val="00521509"/>
    <w:rsid w:val="00527A58"/>
    <w:rsid w:val="0053234E"/>
    <w:rsid w:val="0053642F"/>
    <w:rsid w:val="00542690"/>
    <w:rsid w:val="005458FE"/>
    <w:rsid w:val="00546005"/>
    <w:rsid w:val="00550363"/>
    <w:rsid w:val="00552F37"/>
    <w:rsid w:val="005538C6"/>
    <w:rsid w:val="005572C7"/>
    <w:rsid w:val="005662D9"/>
    <w:rsid w:val="0057684B"/>
    <w:rsid w:val="00577841"/>
    <w:rsid w:val="00596877"/>
    <w:rsid w:val="00597632"/>
    <w:rsid w:val="005A5DA6"/>
    <w:rsid w:val="005B2B87"/>
    <w:rsid w:val="005B55C0"/>
    <w:rsid w:val="005B58F9"/>
    <w:rsid w:val="005B6FB8"/>
    <w:rsid w:val="005D0A85"/>
    <w:rsid w:val="005D2380"/>
    <w:rsid w:val="005D7ED1"/>
    <w:rsid w:val="005E099A"/>
    <w:rsid w:val="005F1822"/>
    <w:rsid w:val="005F67D9"/>
    <w:rsid w:val="006076A6"/>
    <w:rsid w:val="00614A01"/>
    <w:rsid w:val="006159EA"/>
    <w:rsid w:val="00621D5F"/>
    <w:rsid w:val="00626418"/>
    <w:rsid w:val="0063302B"/>
    <w:rsid w:val="00633A52"/>
    <w:rsid w:val="006341E8"/>
    <w:rsid w:val="00635F28"/>
    <w:rsid w:val="006410FA"/>
    <w:rsid w:val="00653940"/>
    <w:rsid w:val="00660A5E"/>
    <w:rsid w:val="006623C4"/>
    <w:rsid w:val="006745FD"/>
    <w:rsid w:val="00684A3B"/>
    <w:rsid w:val="00690298"/>
    <w:rsid w:val="00692164"/>
    <w:rsid w:val="00694457"/>
    <w:rsid w:val="00696FEF"/>
    <w:rsid w:val="006A4D8C"/>
    <w:rsid w:val="006A66BE"/>
    <w:rsid w:val="006B04CA"/>
    <w:rsid w:val="006B78A1"/>
    <w:rsid w:val="006C07D4"/>
    <w:rsid w:val="006C0C4E"/>
    <w:rsid w:val="006C59CE"/>
    <w:rsid w:val="006D3603"/>
    <w:rsid w:val="00700602"/>
    <w:rsid w:val="00703BEF"/>
    <w:rsid w:val="007108D0"/>
    <w:rsid w:val="007112BC"/>
    <w:rsid w:val="007126FE"/>
    <w:rsid w:val="00716731"/>
    <w:rsid w:val="00724F1E"/>
    <w:rsid w:val="0072676C"/>
    <w:rsid w:val="00726787"/>
    <w:rsid w:val="00733697"/>
    <w:rsid w:val="007357B7"/>
    <w:rsid w:val="00751F21"/>
    <w:rsid w:val="00757464"/>
    <w:rsid w:val="00757BEE"/>
    <w:rsid w:val="00762577"/>
    <w:rsid w:val="00765172"/>
    <w:rsid w:val="00772CF3"/>
    <w:rsid w:val="00774E01"/>
    <w:rsid w:val="00780A71"/>
    <w:rsid w:val="00782E5A"/>
    <w:rsid w:val="0078653C"/>
    <w:rsid w:val="00786FE8"/>
    <w:rsid w:val="007A0647"/>
    <w:rsid w:val="007A341E"/>
    <w:rsid w:val="007A6403"/>
    <w:rsid w:val="007A74AA"/>
    <w:rsid w:val="007B76A3"/>
    <w:rsid w:val="007C6599"/>
    <w:rsid w:val="007C7FB2"/>
    <w:rsid w:val="007D318F"/>
    <w:rsid w:val="007D70E6"/>
    <w:rsid w:val="007E4709"/>
    <w:rsid w:val="007E5B4A"/>
    <w:rsid w:val="007E6728"/>
    <w:rsid w:val="007F16AE"/>
    <w:rsid w:val="007F2843"/>
    <w:rsid w:val="007F7DF2"/>
    <w:rsid w:val="00804867"/>
    <w:rsid w:val="00805ECB"/>
    <w:rsid w:val="008122FE"/>
    <w:rsid w:val="00816FFF"/>
    <w:rsid w:val="008221B1"/>
    <w:rsid w:val="00823C32"/>
    <w:rsid w:val="00826041"/>
    <w:rsid w:val="0083317D"/>
    <w:rsid w:val="00833872"/>
    <w:rsid w:val="00836EAC"/>
    <w:rsid w:val="00840F2A"/>
    <w:rsid w:val="00840FC2"/>
    <w:rsid w:val="00851A8E"/>
    <w:rsid w:val="00853322"/>
    <w:rsid w:val="00864276"/>
    <w:rsid w:val="008735F2"/>
    <w:rsid w:val="00874095"/>
    <w:rsid w:val="00880728"/>
    <w:rsid w:val="00881077"/>
    <w:rsid w:val="00883CD4"/>
    <w:rsid w:val="00891627"/>
    <w:rsid w:val="00891A14"/>
    <w:rsid w:val="008950FC"/>
    <w:rsid w:val="0089611F"/>
    <w:rsid w:val="008A2D3F"/>
    <w:rsid w:val="008F6AD9"/>
    <w:rsid w:val="009030B0"/>
    <w:rsid w:val="00903F11"/>
    <w:rsid w:val="009063AC"/>
    <w:rsid w:val="0091739F"/>
    <w:rsid w:val="009203F8"/>
    <w:rsid w:val="00922912"/>
    <w:rsid w:val="00926D59"/>
    <w:rsid w:val="00937E0B"/>
    <w:rsid w:val="009442E0"/>
    <w:rsid w:val="00963CB7"/>
    <w:rsid w:val="00970914"/>
    <w:rsid w:val="00971EC2"/>
    <w:rsid w:val="0097769E"/>
    <w:rsid w:val="00977810"/>
    <w:rsid w:val="0099275B"/>
    <w:rsid w:val="00992E56"/>
    <w:rsid w:val="00993094"/>
    <w:rsid w:val="009A331A"/>
    <w:rsid w:val="009A52E2"/>
    <w:rsid w:val="009C5F4C"/>
    <w:rsid w:val="009D2082"/>
    <w:rsid w:val="009E11E6"/>
    <w:rsid w:val="00A03FAB"/>
    <w:rsid w:val="00A04FEF"/>
    <w:rsid w:val="00A3246A"/>
    <w:rsid w:val="00A32829"/>
    <w:rsid w:val="00A3445E"/>
    <w:rsid w:val="00A35003"/>
    <w:rsid w:val="00A42606"/>
    <w:rsid w:val="00A42DEB"/>
    <w:rsid w:val="00A77090"/>
    <w:rsid w:val="00A80D24"/>
    <w:rsid w:val="00A90B29"/>
    <w:rsid w:val="00A94523"/>
    <w:rsid w:val="00A94DDB"/>
    <w:rsid w:val="00A96151"/>
    <w:rsid w:val="00AA5619"/>
    <w:rsid w:val="00AA5DAD"/>
    <w:rsid w:val="00AA7AD7"/>
    <w:rsid w:val="00AB40D1"/>
    <w:rsid w:val="00AC3C96"/>
    <w:rsid w:val="00AC462D"/>
    <w:rsid w:val="00AD02A2"/>
    <w:rsid w:val="00AD198F"/>
    <w:rsid w:val="00AD1AF0"/>
    <w:rsid w:val="00AD6088"/>
    <w:rsid w:val="00AD798C"/>
    <w:rsid w:val="00AE0A7F"/>
    <w:rsid w:val="00AE58D2"/>
    <w:rsid w:val="00AE5C76"/>
    <w:rsid w:val="00AE6A93"/>
    <w:rsid w:val="00AF2897"/>
    <w:rsid w:val="00AF634A"/>
    <w:rsid w:val="00B1196B"/>
    <w:rsid w:val="00B12EBC"/>
    <w:rsid w:val="00B1309D"/>
    <w:rsid w:val="00B2351E"/>
    <w:rsid w:val="00B23C86"/>
    <w:rsid w:val="00B47985"/>
    <w:rsid w:val="00B51411"/>
    <w:rsid w:val="00B51E8A"/>
    <w:rsid w:val="00B66639"/>
    <w:rsid w:val="00B67020"/>
    <w:rsid w:val="00B7093D"/>
    <w:rsid w:val="00B719F2"/>
    <w:rsid w:val="00B7292E"/>
    <w:rsid w:val="00B75492"/>
    <w:rsid w:val="00B800D3"/>
    <w:rsid w:val="00B80DE0"/>
    <w:rsid w:val="00B87FE7"/>
    <w:rsid w:val="00B924FB"/>
    <w:rsid w:val="00B93643"/>
    <w:rsid w:val="00BA2691"/>
    <w:rsid w:val="00BA38AA"/>
    <w:rsid w:val="00BA3F74"/>
    <w:rsid w:val="00BA7F09"/>
    <w:rsid w:val="00BB6277"/>
    <w:rsid w:val="00BC08A3"/>
    <w:rsid w:val="00BC1981"/>
    <w:rsid w:val="00BC61D4"/>
    <w:rsid w:val="00BF31C4"/>
    <w:rsid w:val="00C03025"/>
    <w:rsid w:val="00C031DF"/>
    <w:rsid w:val="00C1745D"/>
    <w:rsid w:val="00C23709"/>
    <w:rsid w:val="00C359A9"/>
    <w:rsid w:val="00C3600E"/>
    <w:rsid w:val="00C46715"/>
    <w:rsid w:val="00C55A40"/>
    <w:rsid w:val="00C61C58"/>
    <w:rsid w:val="00C63AE9"/>
    <w:rsid w:val="00C63FEC"/>
    <w:rsid w:val="00C7624A"/>
    <w:rsid w:val="00C779F2"/>
    <w:rsid w:val="00C830F1"/>
    <w:rsid w:val="00C84883"/>
    <w:rsid w:val="00C859EE"/>
    <w:rsid w:val="00CA02C4"/>
    <w:rsid w:val="00CB6509"/>
    <w:rsid w:val="00CB6DBE"/>
    <w:rsid w:val="00CB6DD6"/>
    <w:rsid w:val="00CB716D"/>
    <w:rsid w:val="00CC0EC9"/>
    <w:rsid w:val="00CC6FFB"/>
    <w:rsid w:val="00CF1136"/>
    <w:rsid w:val="00D117B0"/>
    <w:rsid w:val="00D1583F"/>
    <w:rsid w:val="00D16D8D"/>
    <w:rsid w:val="00D174AE"/>
    <w:rsid w:val="00D2200E"/>
    <w:rsid w:val="00D3062F"/>
    <w:rsid w:val="00D35108"/>
    <w:rsid w:val="00D50AA4"/>
    <w:rsid w:val="00D541F4"/>
    <w:rsid w:val="00D577FA"/>
    <w:rsid w:val="00D61906"/>
    <w:rsid w:val="00D655C7"/>
    <w:rsid w:val="00D671DC"/>
    <w:rsid w:val="00D75AD6"/>
    <w:rsid w:val="00D76FBC"/>
    <w:rsid w:val="00D91DA7"/>
    <w:rsid w:val="00D92FE1"/>
    <w:rsid w:val="00DA1445"/>
    <w:rsid w:val="00DA3D70"/>
    <w:rsid w:val="00DC542F"/>
    <w:rsid w:val="00DC5A80"/>
    <w:rsid w:val="00DD3F2C"/>
    <w:rsid w:val="00DD4A8C"/>
    <w:rsid w:val="00DE5659"/>
    <w:rsid w:val="00DF3EF0"/>
    <w:rsid w:val="00E033D7"/>
    <w:rsid w:val="00E10872"/>
    <w:rsid w:val="00E1152F"/>
    <w:rsid w:val="00E12B4C"/>
    <w:rsid w:val="00E15939"/>
    <w:rsid w:val="00E16E01"/>
    <w:rsid w:val="00E17F92"/>
    <w:rsid w:val="00E21CBA"/>
    <w:rsid w:val="00E23622"/>
    <w:rsid w:val="00E31F12"/>
    <w:rsid w:val="00E347A8"/>
    <w:rsid w:val="00E35956"/>
    <w:rsid w:val="00E36978"/>
    <w:rsid w:val="00E4008D"/>
    <w:rsid w:val="00E45205"/>
    <w:rsid w:val="00E505C2"/>
    <w:rsid w:val="00E534D9"/>
    <w:rsid w:val="00E940DB"/>
    <w:rsid w:val="00E9561C"/>
    <w:rsid w:val="00EA65BD"/>
    <w:rsid w:val="00EB3F16"/>
    <w:rsid w:val="00EC615B"/>
    <w:rsid w:val="00EE5AD0"/>
    <w:rsid w:val="00F06CF7"/>
    <w:rsid w:val="00F11F5A"/>
    <w:rsid w:val="00F12F97"/>
    <w:rsid w:val="00F170FE"/>
    <w:rsid w:val="00F207D5"/>
    <w:rsid w:val="00F23BA0"/>
    <w:rsid w:val="00F24AED"/>
    <w:rsid w:val="00F256B3"/>
    <w:rsid w:val="00F52BA4"/>
    <w:rsid w:val="00F55BAE"/>
    <w:rsid w:val="00F567F1"/>
    <w:rsid w:val="00F56C4F"/>
    <w:rsid w:val="00F57974"/>
    <w:rsid w:val="00F607EF"/>
    <w:rsid w:val="00F64475"/>
    <w:rsid w:val="00F67923"/>
    <w:rsid w:val="00F8319A"/>
    <w:rsid w:val="00F945FA"/>
    <w:rsid w:val="00F978A1"/>
    <w:rsid w:val="00FC6BCB"/>
    <w:rsid w:val="00FD3945"/>
    <w:rsid w:val="00FE1D02"/>
    <w:rsid w:val="00FE58BD"/>
    <w:rsid w:val="00FE7795"/>
    <w:rsid w:val="00FF58FA"/>
    <w:rsid w:val="00FF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7A2B9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mt-MT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7BC"/>
    <w:pPr>
      <w:tabs>
        <w:tab w:val="left" w:pos="720"/>
        <w:tab w:val="left" w:pos="1077"/>
        <w:tab w:val="left" w:pos="1440"/>
        <w:tab w:val="left" w:pos="1797"/>
      </w:tabs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32CC"/>
    <w:pPr>
      <w:keepNext/>
      <w:spacing w:before="240" w:after="240"/>
      <w:outlineLvl w:val="0"/>
    </w:pPr>
    <w:rPr>
      <w:rFonts w:eastAsia="Times New Roman" w:cs="Arial Unicode MS"/>
      <w:b/>
      <w:bCs/>
      <w:smallCaps/>
      <w:szCs w:val="24"/>
      <w:lang w:eastAsia="en-GB" w:bidi="si-LK"/>
    </w:rPr>
  </w:style>
  <w:style w:type="paragraph" w:styleId="Heading3">
    <w:name w:val="heading 3"/>
    <w:basedOn w:val="Normal"/>
    <w:next w:val="Normal"/>
    <w:link w:val="Heading3Char"/>
    <w:uiPriority w:val="9"/>
    <w:qFormat/>
    <w:rsid w:val="000432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0432C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32CC"/>
    <w:rPr>
      <w:rFonts w:ascii="Times New Roman" w:eastAsia="Times New Roman" w:hAnsi="Times New Roman" w:cs="Arial Unicode MS"/>
      <w:b/>
      <w:bCs/>
      <w:smallCaps/>
      <w:sz w:val="24"/>
      <w:szCs w:val="24"/>
      <w:lang w:val="mt-MT" w:bidi="si-LK"/>
    </w:rPr>
  </w:style>
  <w:style w:type="character" w:customStyle="1" w:styleId="Heading3Char">
    <w:name w:val="Heading 3 Char"/>
    <w:link w:val="Heading3"/>
    <w:uiPriority w:val="9"/>
    <w:rsid w:val="000432CC"/>
    <w:rPr>
      <w:rFonts w:ascii="Cambria" w:eastAsia="Times New Roman" w:hAnsi="Cambria"/>
      <w:b/>
      <w:bCs/>
      <w:sz w:val="26"/>
      <w:szCs w:val="26"/>
      <w:lang w:eastAsia="en-US"/>
    </w:rPr>
  </w:style>
  <w:style w:type="character" w:styleId="FootnoteReference">
    <w:name w:val="footnote reference"/>
    <w:aliases w:val="Footnote reference number,Footnote,Footnote symbol,Nota,Footnote number,de nota al pie,Ref,Char,SUPERS,Voetnootmarkering,Char1,fr,o,(NECG) Footnote Reference,Times 10 Point,Exposant 3 Point,Footnote Reference Number,FR"/>
    <w:rsid w:val="000432CC"/>
    <w:rPr>
      <w:vertAlign w:val="superscript"/>
    </w:rPr>
  </w:style>
  <w:style w:type="paragraph" w:styleId="FootnoteText">
    <w:name w:val="footnote text"/>
    <w:aliases w:val="fn,Schriftart: 9 pt,Schriftart: 10 pt,Schriftart: 8 pt,WB-Fußnotentext,Schriftart,9 pt,10 pt,8 pt,ft,Footnote Text Char2 Char,Footnote Text Char Char Char1,Footnote Text Char1 Char Char Char,F-t,Schrifta,Schriftar,9"/>
    <w:basedOn w:val="Normal"/>
    <w:link w:val="FootnoteTextChar"/>
    <w:rsid w:val="000432CC"/>
    <w:rPr>
      <w:rFonts w:eastAsia="Times New Roman" w:cs="Arial Unicode MS"/>
      <w:sz w:val="20"/>
      <w:szCs w:val="20"/>
      <w:lang w:eastAsia="en-GB" w:bidi="si-LK"/>
    </w:rPr>
  </w:style>
  <w:style w:type="character" w:customStyle="1" w:styleId="FootnoteTextChar">
    <w:name w:val="Footnote Text Char"/>
    <w:aliases w:val="fn Char,Schriftart: 9 pt Char,Schriftart: 10 pt Char,Schriftart: 8 pt Char,WB-Fußnotentext Char,Schriftart Char,9 pt Char,10 pt Char,8 pt Char,ft Char,Footnote Text Char2 Char Char,Footnote Text Char Char Char1 Char,F-t Char,9 Char"/>
    <w:link w:val="FootnoteText"/>
    <w:rsid w:val="000432CC"/>
    <w:rPr>
      <w:rFonts w:ascii="Times New Roman" w:eastAsia="Times New Roman" w:hAnsi="Times New Roman" w:cs="Arial Unicode MS"/>
      <w:lang w:val="mt-MT" w:bidi="si-LK"/>
    </w:rPr>
  </w:style>
  <w:style w:type="paragraph" w:customStyle="1" w:styleId="ChapterTitle">
    <w:name w:val="ChapterTitle"/>
    <w:basedOn w:val="Normal"/>
    <w:next w:val="Normal"/>
    <w:rsid w:val="000432CC"/>
    <w:pPr>
      <w:keepNext/>
      <w:spacing w:before="120" w:after="360"/>
      <w:jc w:val="center"/>
    </w:pPr>
    <w:rPr>
      <w:rFonts w:eastAsia="Times New Roman" w:cs="Arial Unicode MS"/>
      <w:b/>
      <w:bCs/>
      <w:sz w:val="32"/>
      <w:szCs w:val="32"/>
      <w:lang w:eastAsia="en-GB" w:bidi="si-LK"/>
    </w:rPr>
  </w:style>
  <w:style w:type="paragraph" w:customStyle="1" w:styleId="ListDash1">
    <w:name w:val="List Dash 1"/>
    <w:basedOn w:val="Normal"/>
    <w:rsid w:val="000432CC"/>
    <w:pPr>
      <w:numPr>
        <w:numId w:val="4"/>
      </w:numPr>
      <w:tabs>
        <w:tab w:val="num" w:pos="765"/>
        <w:tab w:val="num" w:pos="1640"/>
      </w:tabs>
      <w:spacing w:after="240"/>
      <w:ind w:left="765" w:hanging="560"/>
    </w:pPr>
    <w:rPr>
      <w:rFonts w:eastAsia="Times New Roman" w:cs="Arial Unicode MS"/>
      <w:szCs w:val="24"/>
      <w:lang w:bidi="si-LK"/>
    </w:rPr>
  </w:style>
  <w:style w:type="paragraph" w:customStyle="1" w:styleId="Normal127Bullet63">
    <w:name w:val="Normal 127 Bullet63"/>
    <w:basedOn w:val="Normal"/>
    <w:rsid w:val="005458FE"/>
    <w:pPr>
      <w:numPr>
        <w:numId w:val="6"/>
      </w:numPr>
      <w:tabs>
        <w:tab w:val="left" w:pos="2161"/>
      </w:tabs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633A52"/>
    <w:pPr>
      <w:numPr>
        <w:ilvl w:val="1"/>
        <w:numId w:val="1"/>
      </w:numPr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styleId="ListNumber">
    <w:name w:val="List Number"/>
    <w:basedOn w:val="Normal"/>
    <w:rsid w:val="000432CC"/>
    <w:pPr>
      <w:spacing w:after="240"/>
    </w:pPr>
    <w:rPr>
      <w:rFonts w:eastAsia="Times New Roman" w:cs="Arial Unicode MS"/>
      <w:szCs w:val="24"/>
      <w:lang w:eastAsia="en-GB" w:bidi="si-LK"/>
    </w:rPr>
  </w:style>
  <w:style w:type="character" w:styleId="CommentReference">
    <w:name w:val="annotation reference"/>
    <w:uiPriority w:val="99"/>
    <w:semiHidden/>
    <w:unhideWhenUsed/>
    <w:rsid w:val="00043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32C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432CC"/>
    <w:rPr>
      <w:lang w:eastAsia="en-US"/>
    </w:rPr>
  </w:style>
  <w:style w:type="paragraph" w:customStyle="1" w:styleId="NormalKop111">
    <w:name w:val="Normal Kop 1.1.1"/>
    <w:basedOn w:val="NormalKop11"/>
    <w:rsid w:val="00141E9F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styleId="ListParagraph">
    <w:name w:val="List Paragraph"/>
    <w:basedOn w:val="Normal"/>
    <w:uiPriority w:val="34"/>
    <w:qFormat/>
    <w:rsid w:val="000432CC"/>
    <w:pPr>
      <w:ind w:left="720"/>
    </w:pPr>
  </w:style>
  <w:style w:type="paragraph" w:customStyle="1" w:styleId="NumPar4">
    <w:name w:val="NumPar 4"/>
    <w:basedOn w:val="Heading4"/>
    <w:next w:val="Normal"/>
    <w:rsid w:val="000432CC"/>
    <w:pPr>
      <w:keepNext w:val="0"/>
      <w:numPr>
        <w:ilvl w:val="3"/>
        <w:numId w:val="3"/>
      </w:numPr>
      <w:spacing w:before="0" w:after="240"/>
      <w:ind w:left="2880" w:hanging="960"/>
      <w:outlineLvl w:val="9"/>
    </w:pPr>
    <w:rPr>
      <w:rFonts w:ascii="Times New Roman" w:hAnsi="Times New Roman" w:cs="Arial Unicode MS"/>
      <w:b w:val="0"/>
      <w:bCs w:val="0"/>
      <w:sz w:val="24"/>
      <w:szCs w:val="24"/>
      <w:lang w:eastAsia="en-GB" w:bidi="si-LK"/>
    </w:rPr>
  </w:style>
  <w:style w:type="paragraph" w:customStyle="1" w:styleId="Text3">
    <w:name w:val="Text 3"/>
    <w:basedOn w:val="Normal"/>
    <w:rsid w:val="000432CC"/>
    <w:pPr>
      <w:tabs>
        <w:tab w:val="left" w:pos="2302"/>
      </w:tabs>
      <w:spacing w:after="240"/>
      <w:ind w:left="1202"/>
    </w:pPr>
    <w:rPr>
      <w:rFonts w:eastAsia="Times New Roman" w:cs="Arial Unicode MS"/>
      <w:szCs w:val="24"/>
      <w:lang w:eastAsia="en-GB" w:bidi="si-LK"/>
    </w:rPr>
  </w:style>
  <w:style w:type="character" w:customStyle="1" w:styleId="Heading4Char">
    <w:name w:val="Heading 4 Char"/>
    <w:link w:val="Heading4"/>
    <w:uiPriority w:val="9"/>
    <w:semiHidden/>
    <w:rsid w:val="000432C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2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32C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696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5C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5C0"/>
    <w:rPr>
      <w:b/>
      <w:bCs/>
      <w:lang w:eastAsia="en-US"/>
    </w:rPr>
  </w:style>
  <w:style w:type="character" w:styleId="Hyperlink">
    <w:name w:val="Hyperlink"/>
    <w:uiPriority w:val="99"/>
    <w:unhideWhenUsed/>
    <w:rsid w:val="007C7FB2"/>
    <w:rPr>
      <w:color w:val="0000FF"/>
      <w:u w:val="single"/>
    </w:rPr>
  </w:style>
  <w:style w:type="paragraph" w:customStyle="1" w:styleId="Normal127Indent127">
    <w:name w:val="Normal 127 Indent 127"/>
    <w:basedOn w:val="NormalKop111"/>
    <w:qFormat/>
    <w:rsid w:val="001118C4"/>
    <w:pPr>
      <w:spacing w:before="120"/>
    </w:pPr>
  </w:style>
  <w:style w:type="paragraph" w:customStyle="1" w:styleId="Normal127">
    <w:name w:val="Normal 127"/>
    <w:basedOn w:val="NormalKop111"/>
    <w:qFormat/>
    <w:rsid w:val="001118C4"/>
  </w:style>
  <w:style w:type="paragraph" w:customStyle="1" w:styleId="Text2">
    <w:name w:val="Text 2"/>
    <w:basedOn w:val="Normal"/>
    <w:rsid w:val="007D70E6"/>
    <w:pPr>
      <w:tabs>
        <w:tab w:val="clear" w:pos="720"/>
        <w:tab w:val="clear" w:pos="1077"/>
        <w:tab w:val="clear" w:pos="1440"/>
        <w:tab w:val="clear" w:pos="1797"/>
        <w:tab w:val="left" w:pos="2161"/>
      </w:tabs>
      <w:spacing w:after="240"/>
      <w:ind w:left="1077"/>
    </w:pPr>
    <w:rPr>
      <w:rFonts w:eastAsia="Times New Roman" w:cs="Arial Unicode MS"/>
      <w:szCs w:val="24"/>
      <w:lang w:eastAsia="en-GB" w:bidi="si-LK"/>
    </w:rPr>
  </w:style>
  <w:style w:type="paragraph" w:customStyle="1" w:styleId="NumPar3">
    <w:name w:val="NumPar 3"/>
    <w:basedOn w:val="Normal"/>
    <w:uiPriority w:val="99"/>
    <w:rsid w:val="007D70E6"/>
    <w:pPr>
      <w:tabs>
        <w:tab w:val="clear" w:pos="720"/>
        <w:tab w:val="clear" w:pos="1077"/>
        <w:tab w:val="clear" w:pos="1440"/>
        <w:tab w:val="clear" w:pos="1797"/>
      </w:tabs>
      <w:spacing w:before="120" w:after="120"/>
      <w:ind w:left="720"/>
    </w:pPr>
    <w:rPr>
      <w:rFonts w:eastAsia="Times New Roman" w:cs="Arial Unicode MS"/>
      <w:szCs w:val="24"/>
      <w:lang w:eastAsia="en-GB" w:bidi="si-LK"/>
    </w:rPr>
  </w:style>
  <w:style w:type="character" w:styleId="Emphasis">
    <w:name w:val="Emphasis"/>
    <w:uiPriority w:val="20"/>
    <w:qFormat/>
    <w:rsid w:val="00AD798C"/>
    <w:rPr>
      <w:i/>
      <w:iCs/>
    </w:rPr>
  </w:style>
  <w:style w:type="paragraph" w:styleId="Revision">
    <w:name w:val="Revision"/>
    <w:hidden/>
    <w:uiPriority w:val="99"/>
    <w:semiHidden/>
    <w:rsid w:val="003300E4"/>
    <w:rPr>
      <w:rFonts w:ascii="Times New Roman" w:hAnsi="Times New Roman"/>
      <w:sz w:val="24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86B2D"/>
    <w:rPr>
      <w:szCs w:val="24"/>
    </w:rPr>
  </w:style>
  <w:style w:type="character" w:styleId="FollowedHyperlink">
    <w:name w:val="FollowedHyperlink"/>
    <w:uiPriority w:val="99"/>
    <w:semiHidden/>
    <w:unhideWhenUsed/>
    <w:rsid w:val="005B58F9"/>
    <w:rPr>
      <w:color w:val="954F72"/>
      <w:u w:val="single"/>
    </w:rPr>
  </w:style>
  <w:style w:type="paragraph" w:styleId="Header">
    <w:name w:val="header"/>
    <w:basedOn w:val="Normal"/>
    <w:link w:val="HeaderChar"/>
    <w:uiPriority w:val="99"/>
    <w:unhideWhenUsed/>
    <w:rsid w:val="00C23709"/>
    <w:pPr>
      <w:tabs>
        <w:tab w:val="clear" w:pos="720"/>
        <w:tab w:val="clear" w:pos="1077"/>
        <w:tab w:val="clear" w:pos="1440"/>
        <w:tab w:val="clear" w:pos="1797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3709"/>
    <w:rPr>
      <w:rFonts w:ascii="Times New Roman" w:hAnsi="Times New Roman"/>
      <w:sz w:val="24"/>
      <w:szCs w:val="22"/>
      <w:lang w:val="mt-MT" w:eastAsia="en-US"/>
    </w:rPr>
  </w:style>
  <w:style w:type="paragraph" w:styleId="Footer">
    <w:name w:val="footer"/>
    <w:basedOn w:val="Normal"/>
    <w:link w:val="FooterChar"/>
    <w:uiPriority w:val="99"/>
    <w:unhideWhenUsed/>
    <w:rsid w:val="00C23709"/>
    <w:pPr>
      <w:tabs>
        <w:tab w:val="clear" w:pos="720"/>
        <w:tab w:val="clear" w:pos="1077"/>
        <w:tab w:val="clear" w:pos="1440"/>
        <w:tab w:val="clear" w:pos="1797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3709"/>
    <w:rPr>
      <w:rFonts w:ascii="Times New Roman" w:hAnsi="Times New Roman"/>
      <w:sz w:val="24"/>
      <w:szCs w:val="22"/>
      <w:lang w:val="mt-M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F16FB-415F-4F94-9EBB-3C19963F6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3391</Words>
  <Characters>24386</Characters>
  <Application>Microsoft Office Word</Application>
  <DocSecurity>0</DocSecurity>
  <Lines>903</Lines>
  <Paragraphs>338</Paragraphs>
  <ScaleCrop>false</ScaleCrop>
  <Company/>
  <LinksUpToDate>false</LinksUpToDate>
  <CharactersWithSpaces>27439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2023-01-20T10:22:00Z</dcterms:created>
  <dcterms:modified xsi:type="dcterms:W3CDTF">2023-01-23T10:14:00Z</dcterms:modified>
</cp:coreProperties>
</file>